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w="http://schemas.openxmlformats.org/wordprocessingml/2006/main">
  <w:body>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n"/>
        </w:rPr>
        <w:t>ПОЯСНИТЕЛЬНАЯ ЗАПИСКА</w:t>
      </w:r>
    </w:p>
    <w:tbl>
      <w:tblPr>
        <w:tblW w:w="10711" w:type="dxa"/>
        <w:tblBorders>
          <w:top w:val="none" w:sz="0"/>
          <w:left w:val="none" w:sz="0"/>
          <w:bottom w:val="none" w:sz="0"/>
          <w:right w:val="none" w:sz="0"/>
          <w:insideH w:val="single" w:sz="16"/>
          <w:insideV w:val="single" w:sz="16"/>
        </w:tblBorders>
        <w:tblLayout w:type="fixed"/>
      </w:tblPr>
      <w:tblGrid>
        <w:gridCol w:w="107"/>
        <w:gridCol w:w="1606"/>
        <w:gridCol w:w="1606"/>
        <w:gridCol w:w="3427"/>
        <w:gridCol w:w="2142"/>
        <w:gridCol w:w="1713"/>
        <w:gridCol w:w="107"/>
      </w:tblGrid>
      <w:tr>
        <w:tc>
          <w:tcPr>
            <w:tcW w:type="dxa" w:w="10708"/>
            <w:gridSpan w:val="7"/>
            <w:tcBorders>
              <w:bottom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r>
      <w:tr>
        <w:tc>
          <w:tcPr>
            <w:tcW w:type="dxa" w:w="107"/>
            <w:tcBorders>
              <w:top w:color="000000" w:sz="0" w:val="none"/>
              <w:bottom w:color="000000" w:sz="0" w:val="none"/>
              <w:right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1606"/>
            <w:tcBorders>
              <w:top w:color="000000" w:sz="0" w:val="none"/>
              <w:left w:color="000000" w:sz="0" w:val="none"/>
              <w:bottom w:color="000000" w:sz="0" w:val="none"/>
              <w:right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1606"/>
            <w:tcBorders>
              <w:top w:color="000000" w:sz="0" w:val="none"/>
              <w:left w:color="000000" w:sz="0" w:val="none"/>
              <w:bottom w:color="000000" w:sz="0" w:val="none"/>
              <w:right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3427"/>
            <w:tcBorders>
              <w:top w:color="000000" w:sz="0" w:val="none"/>
              <w:left w:color="000000" w:sz="0" w:val="none"/>
              <w:bottom w:color="000000" w:sz="0" w:val="none"/>
              <w:right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2142"/>
            <w:tcBorders>
              <w:top w:color="000000" w:sz="0" w:val="none"/>
              <w:left w:color="000000" w:sz="0" w:val="none"/>
              <w:bottom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1713"/>
            <w:vAlign w:val="bottom"/>
          </w:tcPr>
          <w:p>
            <w:pPr>
              <w:spacing w:before="0" w:after="0" w:lineRule="atLeast" w:line="20"/>
              <w:ind w:right="56" w:left="56"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ff"/>
                <w:i w:val="off"/>
                <w:strike w:val="off"/>
              </w:rPr>
            </w:r>
            <w:r>
              <w:rPr>
                <w:sz w:val="28"/>
                <w:rFonts w:ascii="Times New Roman" w:hAnsi="Times New Roman" w:cs="Times New Roman" w:eastAsia="Times New Roman"/>
                <w:u w:val="none"/>
              </w:rPr>
              <w:t>КОДЫ</w:t>
            </w:r>
          </w:p>
        </w:tc>
        <w:tc>
          <w:tcPr>
            <w:tcW w:type="dxa" w:w="107"/>
            <w:tcBorders>
              <w:top w:color="000000" w:sz="0" w:val="none"/>
              <w:bottom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r>
      <w:tr>
        <w:tc>
          <w:tcPr>
            <w:tcW w:type="dxa" w:w="107"/>
            <w:tcBorders>
              <w:top w:color="000000" w:sz="0" w:val="none"/>
              <w:bottom w:color="000000" w:sz="0" w:val="none"/>
              <w:right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1606"/>
            <w:tcBorders>
              <w:top w:color="000000" w:sz="0" w:val="none"/>
              <w:left w:color="000000" w:sz="0" w:val="none"/>
              <w:bottom w:color="000000" w:sz="0" w:val="none"/>
              <w:right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1606"/>
            <w:tcBorders>
              <w:top w:color="000000" w:sz="0" w:val="none"/>
              <w:left w:color="000000" w:sz="0" w:val="none"/>
              <w:bottom w:color="000000" w:sz="0" w:val="none"/>
              <w:right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3427"/>
            <w:tcBorders>
              <w:top w:color="000000" w:sz="0" w:val="none"/>
              <w:left w:color="000000" w:sz="0" w:val="none"/>
              <w:bottom w:color="000000" w:sz="0" w:val="none"/>
              <w:right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2142"/>
            <w:tcBorders>
              <w:top w:color="000000" w:sz="0" w:val="none"/>
              <w:left w:color="000000" w:sz="0" w:val="none"/>
              <w:bottom w:color="000000" w:sz="0" w:val="none"/>
            </w:tcBorders>
            <w:vAlign w:val="bottom"/>
          </w:tcPr>
          <w:p>
            <w:pPr>
              <w:spacing w:before="0" w:after="0" w:lineRule="atLeast" w:line="20"/>
              <w:ind w:right="56" w:left="56"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ff"/>
                <w:i w:val="off"/>
                <w:strike w:val="off"/>
              </w:rPr>
            </w:r>
            <w:r>
              <w:rPr>
                <w:sz w:val="28"/>
                <w:rFonts w:ascii="Times New Roman" w:hAnsi="Times New Roman" w:cs="Times New Roman" w:eastAsia="Times New Roman"/>
                <w:u w:val="none"/>
              </w:rPr>
              <w:t>Форма по ОКУД</w:t>
            </w:r>
          </w:p>
        </w:tc>
        <w:tc>
          <w:tcPr>
            <w:tcW w:type="dxa" w:w="1713"/>
            <w:vAlign w:val="bottom"/>
          </w:tcPr>
          <w:p>
            <w:pPr>
              <w:spacing w:before="0" w:after="0" w:lineRule="atLeast" w:line="20"/>
              <w:ind w:right="56" w:left="56"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ff"/>
                <w:i w:val="off"/>
                <w:strike w:val="off"/>
              </w:rPr>
            </w:r>
            <w:r>
              <w:rPr>
                <w:sz w:val="28"/>
                <w:rFonts w:ascii="Times New Roman" w:hAnsi="Times New Roman" w:cs="Times New Roman" w:eastAsia="Times New Roman"/>
                <w:u w:val="none"/>
              </w:rPr>
              <w:t>0503160</w:t>
            </w:r>
          </w:p>
        </w:tc>
        <w:tc>
          <w:tcPr>
            <w:tcW w:type="dxa" w:w="107"/>
            <w:tcBorders>
              <w:top w:color="000000" w:sz="0" w:val="none"/>
              <w:bottom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r>
      <w:tr>
        <w:tc>
          <w:tcPr>
            <w:tcW w:type="dxa" w:w="107"/>
            <w:tcBorders>
              <w:top w:color="000000" w:sz="0" w:val="none"/>
              <w:bottom w:color="000000" w:sz="0" w:val="none"/>
              <w:right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1606"/>
            <w:tcBorders>
              <w:top w:color="000000" w:sz="0" w:val="none"/>
              <w:left w:color="000000" w:sz="0" w:val="none"/>
              <w:bottom w:color="000000" w:sz="0" w:val="none"/>
              <w:right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5033"/>
            <w:gridSpan w:val="2"/>
            <w:tcBorders>
              <w:top w:color="000000" w:sz="0" w:val="none"/>
              <w:left w:color="000000" w:sz="0" w:val="none"/>
              <w:bottom w:color="000000" w:sz="0" w:val="none"/>
              <w:right w:color="000000" w:sz="0" w:val="none"/>
            </w:tcBorders>
            <w:vAlign w:val="bottom"/>
          </w:tcPr>
          <w:p>
            <w:pPr>
              <w:spacing w:before="0" w:after="0" w:lineRule="atLeast" w:line="20"/>
              <w:ind w:right="56" w:left="56"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ff"/>
                <w:i w:val="off"/>
                <w:strike w:val="off"/>
              </w:rPr>
            </w:r>
            <w:r>
              <w:rPr>
                <w:sz w:val="28"/>
                <w:rFonts w:ascii="Times New Roman" w:hAnsi="Times New Roman" w:cs="Times New Roman" w:eastAsia="Times New Roman"/>
                <w:u w:val="none"/>
              </w:rPr>
              <w:t xml:space="preserve">на </w:t>
            </w:r>
            <w:r>
              <w:rPr>
                <w:sz w:val="28"/>
                <w:rFonts w:ascii="Times New Roman" w:hAnsi="Times New Roman" w:cs="Times New Roman" w:eastAsia="Times New Roman"/>
                <w:u w:val="none"/>
              </w:rPr>
              <w:t>1 января 2026 г.</w:t>
            </w:r>
          </w:p>
        </w:tc>
        <w:tc>
          <w:tcPr>
            <w:tcW w:type="dxa" w:w="2142"/>
            <w:tcBorders>
              <w:top w:color="000000" w:sz="0" w:val="none"/>
              <w:left w:color="000000" w:sz="0" w:val="none"/>
              <w:bottom w:color="000000" w:sz="0" w:val="none"/>
            </w:tcBorders>
            <w:vAlign w:val="bottom"/>
          </w:tcPr>
          <w:p>
            <w:pPr>
              <w:spacing w:before="0" w:after="0" w:lineRule="atLeast" w:line="20"/>
              <w:ind w:right="56" w:left="56"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ff"/>
                <w:i w:val="off"/>
                <w:strike w:val="off"/>
              </w:rPr>
            </w:r>
            <w:r>
              <w:rPr>
                <w:sz w:val="28"/>
                <w:rFonts w:ascii="Times New Roman" w:hAnsi="Times New Roman" w:cs="Times New Roman" w:eastAsia="Times New Roman"/>
                <w:u w:val="none"/>
              </w:rPr>
              <w:t>Дата</w:t>
            </w:r>
          </w:p>
        </w:tc>
        <w:tc>
          <w:tcPr>
            <w:tcW w:type="dxa" w:w="1713"/>
            <w:vAlign w:val="bottom"/>
          </w:tcPr>
          <w:p>
            <w:pPr>
              <w:spacing w:before="0" w:after="0" w:lineRule="atLeast" w:line="20"/>
              <w:ind w:right="56" w:left="56"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ff"/>
                <w:i w:val="off"/>
                <w:strike w:val="off"/>
              </w:rPr>
            </w:r>
            <w:r>
              <w:rPr>
                <w:sz w:val="28"/>
                <w:rFonts w:ascii="Times New Roman" w:hAnsi="Times New Roman" w:cs="Times New Roman" w:eastAsia="Times New Roman"/>
                <w:u w:val="none"/>
              </w:rPr>
              <w:t>01.01.2026</w:t>
            </w:r>
          </w:p>
        </w:tc>
        <w:tc>
          <w:tcPr>
            <w:tcW w:type="dxa" w:w="107"/>
            <w:tcBorders>
              <w:top w:color="000000" w:sz="0" w:val="none"/>
              <w:bottom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r>
      <w:tr>
        <w:tc>
          <w:tcPr>
            <w:tcW w:type="dxa" w:w="107"/>
            <w:tcBorders>
              <w:top w:color="000000" w:sz="0" w:val="none"/>
              <w:bottom w:color="000000" w:sz="0" w:val="none"/>
              <w:right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6639"/>
            <w:gridSpan w:val="3"/>
            <w:tcBorders>
              <w:top w:color="000000" w:sz="0" w:val="none"/>
              <w:left w:color="000000" w:sz="0" w:val="none"/>
              <w:bottom w:color="000000" w:sz="0" w:val="none"/>
              <w:right w:color="000000" w:sz="0" w:val="none"/>
            </w:tcBorders>
            <w:vAlign w:val="top"/>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ff"/>
                <w:i w:val="off"/>
                <w:strike w:val="off"/>
              </w:rPr>
            </w:r>
            <w:r>
              <w:rPr>
                <w:sz w:val="28"/>
                <w:rFonts w:ascii="Times New Roman" w:hAnsi="Times New Roman" w:cs="Times New Roman" w:eastAsia="Times New Roman"/>
                <w:u w:val="none"/>
              </w:rPr>
              <w:t>Главный распорядитель, распорядитель,</w:t>
            </w:r>
          </w:p>
        </w:tc>
        <w:tc>
          <w:tcPr>
            <w:tcW w:type="dxa" w:w="2142"/>
            <w:tcBorders>
              <w:top w:color="000000" w:sz="0" w:val="none"/>
              <w:left w:color="000000" w:sz="0" w:val="none"/>
              <w:bottom w:color="000000" w:sz="0" w:val="none"/>
            </w:tcBorders>
          </w:tcPr>
          <w:p>
            <w:pPr>
              <w:spacing w:before="0" w:after="0" w:lineRule="atLeast" w:line="20"/>
              <w:ind w:right="56" w:left="56" w:firstLine="0"/>
              <w:jc w:val="right"/>
            </w:pPr>
            <w:r>
              <w:rPr/>
            </w:r>
            <w:r>
              <w:rPr>
                <w:u w:val="none"/>
                <w:sz w:val="28"/>
                <w:rFonts w:ascii="Times New Roman" w:hAnsi="Times New Roman" w:cs="Times New Roman" w:eastAsia="Times New Roman"/>
                <w:b w:val="off"/>
                <w:i w:val="off"/>
                <w:strike w:val="off"/>
              </w:rPr>
              <w:t/>
            </w:r>
          </w:p>
        </w:tc>
        <w:tc>
          <w:tcPr>
            <w:tcW w:type="dxa" w:w="1713"/>
          </w:tcPr>
          <w:p>
            <w:pPr>
              <w:spacing w:before="0" w:after="0" w:lineRule="atLeast" w:line="20"/>
              <w:ind w:right="56" w:left="56" w:firstLine="0"/>
              <w:jc w:val="center"/>
            </w:pPr>
            <w:r>
              <w:rPr/>
            </w:r>
            <w:r>
              <w:rPr>
                <w:u w:val="none"/>
                <w:sz w:val="28"/>
                <w:rFonts w:ascii="Times New Roman" w:hAnsi="Times New Roman" w:cs="Times New Roman" w:eastAsia="Times New Roman"/>
                <w:b w:val="off"/>
                <w:i w:val="off"/>
                <w:strike w:val="off"/>
              </w:rPr>
              <w:t/>
            </w:r>
          </w:p>
        </w:tc>
        <w:tc>
          <w:tcPr>
            <w:tcW w:type="dxa" w:w="107"/>
            <w:tcBorders>
              <w:top w:color="000000" w:sz="0" w:val="none"/>
              <w:bottom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r>
      <w:tr>
        <w:tc>
          <w:tcPr>
            <w:tcW w:type="dxa" w:w="107"/>
            <w:tcBorders>
              <w:top w:color="000000" w:sz="0" w:val="none"/>
              <w:bottom w:color="000000" w:sz="0" w:val="none"/>
              <w:right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6639"/>
            <w:gridSpan w:val="3"/>
            <w:tcBorders>
              <w:top w:color="000000" w:sz="0" w:val="none"/>
              <w:left w:color="000000" w:sz="0" w:val="none"/>
              <w:bottom w:color="000000" w:sz="0" w:val="none"/>
              <w:right w:color="000000" w:sz="0" w:val="none"/>
            </w:tcBorders>
            <w:vAlign w:val="top"/>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ff"/>
                <w:i w:val="off"/>
                <w:strike w:val="off"/>
              </w:rPr>
            </w:r>
            <w:r>
              <w:rPr>
                <w:sz w:val="28"/>
                <w:rFonts w:ascii="Times New Roman" w:hAnsi="Times New Roman" w:cs="Times New Roman" w:eastAsia="Times New Roman"/>
                <w:u w:val="none"/>
              </w:rPr>
              <w:t>получатель бюджетных средств, главный администратор,</w:t>
            </w:r>
          </w:p>
        </w:tc>
        <w:tc>
          <w:tcPr>
            <w:tcW w:type="dxa" w:w="2142"/>
            <w:tcBorders>
              <w:top w:color="000000" w:sz="0" w:val="none"/>
              <w:left w:color="000000" w:sz="0" w:val="none"/>
              <w:bottom w:color="000000" w:sz="0" w:val="none"/>
            </w:tcBorders>
          </w:tcPr>
          <w:p>
            <w:pPr>
              <w:spacing w:before="0" w:after="0" w:lineRule="atLeast" w:line="20"/>
              <w:ind w:right="56" w:left="56" w:firstLine="0"/>
              <w:jc w:val="right"/>
            </w:pPr>
            <w:r>
              <w:rPr/>
            </w:r>
            <w:r>
              <w:rPr>
                <w:u w:val="none"/>
                <w:sz w:val="28"/>
                <w:rFonts w:ascii="Times New Roman" w:hAnsi="Times New Roman" w:cs="Times New Roman" w:eastAsia="Times New Roman"/>
                <w:b w:val="off"/>
                <w:i w:val="off"/>
                <w:strike w:val="off"/>
              </w:rPr>
              <w:t/>
            </w:r>
          </w:p>
        </w:tc>
        <w:tc>
          <w:tcPr>
            <w:tcW w:type="dxa" w:w="1713"/>
            <w:vAlign w:val="bottom"/>
          </w:tcPr>
          <w:p>
            <w:pPr>
              <w:spacing w:before="0" w:after="0" w:lineRule="atLeast" w:line="20"/>
              <w:ind w:right="56" w:left="56"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ff"/>
                <w:i w:val="off"/>
                <w:strike w:val="off"/>
              </w:rPr>
            </w:r>
            <w:r>
              <w:rPr>
                <w:sz w:val="28"/>
                <w:rFonts w:ascii="Times New Roman" w:hAnsi="Times New Roman" w:cs="Times New Roman" w:eastAsia="Times New Roman"/>
                <w:u w:val="none"/>
              </w:rPr>
              <w:t>ПБС</w:t>
            </w:r>
          </w:p>
        </w:tc>
        <w:tc>
          <w:tcPr>
            <w:tcW w:type="dxa" w:w="107"/>
            <w:tcBorders>
              <w:top w:color="000000" w:sz="0" w:val="none"/>
              <w:bottom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r>
      <w:tr>
        <w:tc>
          <w:tcPr>
            <w:tcW w:type="dxa" w:w="107"/>
            <w:tcBorders>
              <w:top w:color="000000" w:sz="0" w:val="none"/>
              <w:bottom w:color="000000" w:sz="0" w:val="none"/>
              <w:right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6639"/>
            <w:gridSpan w:val="3"/>
            <w:tcBorders>
              <w:top w:color="000000" w:sz="0" w:val="none"/>
              <w:left w:color="000000" w:sz="0" w:val="none"/>
              <w:bottom w:color="000000" w:sz="0" w:val="none"/>
              <w:right w:color="000000" w:sz="0" w:val="none"/>
            </w:tcBorders>
            <w:vAlign w:val="top"/>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ff"/>
                <w:i w:val="off"/>
                <w:strike w:val="off"/>
              </w:rPr>
            </w:r>
            <w:r>
              <w:rPr>
                <w:sz w:val="28"/>
                <w:rFonts w:ascii="Times New Roman" w:hAnsi="Times New Roman" w:cs="Times New Roman" w:eastAsia="Times New Roman"/>
                <w:u w:val="none"/>
              </w:rPr>
              <w:t>администратор доходов бюджета,</w:t>
            </w:r>
          </w:p>
        </w:tc>
        <w:tc>
          <w:tcPr>
            <w:tcW w:type="dxa" w:w="2142"/>
            <w:tcBorders>
              <w:top w:color="000000" w:sz="0" w:val="none"/>
              <w:left w:color="000000" w:sz="0" w:val="none"/>
              <w:bottom w:color="000000" w:sz="0" w:val="none"/>
            </w:tcBorders>
            <w:vAlign w:val="bottom"/>
          </w:tcPr>
          <w:p>
            <w:pPr>
              <w:spacing w:before="0" w:after="0" w:lineRule="atLeast" w:line="20"/>
              <w:ind w:right="56" w:left="56"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ff"/>
                <w:i w:val="off"/>
                <w:strike w:val="off"/>
              </w:rPr>
            </w:r>
            <w:r>
              <w:rPr>
                <w:sz w:val="28"/>
                <w:rFonts w:ascii="Times New Roman" w:hAnsi="Times New Roman" w:cs="Times New Roman" w:eastAsia="Times New Roman"/>
                <w:u w:val="none"/>
              </w:rPr>
              <w:t>по ОКПО</w:t>
            </w:r>
          </w:p>
        </w:tc>
        <w:tc>
          <w:tcPr>
            <w:tcW w:type="dxa" w:w="1713"/>
            <w:vAlign w:val="bottom"/>
          </w:tcPr>
          <w:p>
            <w:pPr>
              <w:spacing w:before="0" w:after="0" w:lineRule="atLeast" w:line="20"/>
              <w:ind w:right="56" w:left="56"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ff"/>
                <w:i w:val="off"/>
                <w:strike w:val="off"/>
              </w:rPr>
            </w:r>
            <w:r>
              <w:rPr>
                <w:sz w:val="28"/>
                <w:rFonts w:ascii="Times New Roman" w:hAnsi="Times New Roman" w:cs="Times New Roman" w:eastAsia="Times New Roman"/>
                <w:u w:val="none"/>
              </w:rPr>
              <w:t>78669856</w:t>
            </w:r>
          </w:p>
        </w:tc>
        <w:tc>
          <w:tcPr>
            <w:tcW w:type="dxa" w:w="107"/>
            <w:tcBorders>
              <w:top w:color="000000" w:sz="0" w:val="none"/>
              <w:bottom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r>
      <w:tr>
        <w:tc>
          <w:tcPr>
            <w:tcW w:type="dxa" w:w="107"/>
            <w:tcBorders>
              <w:top w:color="000000" w:sz="0" w:val="none"/>
              <w:bottom w:color="000000" w:sz="0" w:val="none"/>
              <w:right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6639"/>
            <w:gridSpan w:val="3"/>
            <w:tcBorders>
              <w:top w:color="000000" w:sz="0" w:val="none"/>
              <w:left w:color="000000" w:sz="0" w:val="none"/>
              <w:bottom w:color="000000" w:sz="0" w:val="none"/>
              <w:right w:color="000000" w:sz="0" w:val="none"/>
            </w:tcBorders>
            <w:vAlign w:val="top"/>
            <w:vAlign w:val="top"/>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ff"/>
                <w:i w:val="off"/>
                <w:strike w:val="off"/>
              </w:rPr>
            </w:r>
            <w:r>
              <w:rPr>
                <w:sz w:val="28"/>
                <w:rFonts w:ascii="Times New Roman" w:hAnsi="Times New Roman" w:cs="Times New Roman" w:eastAsia="Times New Roman"/>
                <w:u w:val="none"/>
              </w:rPr>
              <w:t>главный администратор, администратор</w:t>
            </w:r>
          </w:p>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ff"/>
                <w:i w:val="off"/>
                <w:strike w:val="off"/>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источников финансирования</w:t>
            </w:r>
          </w:p>
        </w:tc>
        <w:tc>
          <w:tcPr>
            <w:tcW w:type="dxa" w:w="2142"/>
            <w:vMerge w:val="restart"/>
            <w:tcBorders>
              <w:top w:color="000000" w:sz="0" w:val="none"/>
              <w:left w:color="000000" w:sz="0" w:val="none"/>
              <w:bottom w:color="000000" w:sz="0" w:val="none"/>
            </w:tcBorders>
            <w:vAlign w:val="bottom"/>
          </w:tcPr>
          <w:p>
            <w:pPr>
              <w:spacing w:before="0" w:after="0" w:lineRule="atLeast" w:line="20"/>
              <w:ind w:right="56" w:left="56"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ff"/>
                <w:i w:val="off"/>
                <w:strike w:val="off"/>
              </w:rPr>
            </w:r>
            <w:r>
              <w:rPr>
                <w:sz w:val="28"/>
                <w:rFonts w:ascii="Times New Roman" w:hAnsi="Times New Roman" w:cs="Times New Roman" w:eastAsia="Times New Roman"/>
                <w:u w:val="none"/>
              </w:rPr>
              <w:t>Глава по БК</w:t>
            </w:r>
          </w:p>
        </w:tc>
        <w:tc>
          <w:tcPr>
            <w:tcW w:type="dxa" w:w="1713"/>
            <w:vMerge w:val="restart"/>
            <w:vAlign w:val="bottom"/>
          </w:tcPr>
          <w:p>
            <w:pPr>
              <w:spacing w:before="0" w:after="0" w:lineRule="atLeast" w:line="20"/>
              <w:ind w:right="56" w:left="56"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ff"/>
                <w:i w:val="off"/>
                <w:strike w:val="off"/>
              </w:rPr>
            </w:r>
            <w:r>
              <w:rPr>
                <w:sz w:val="28"/>
                <w:rFonts w:ascii="Times New Roman" w:hAnsi="Times New Roman" w:cs="Times New Roman" w:eastAsia="Times New Roman"/>
                <w:u w:val="none"/>
              </w:rPr>
              <w:t>013</w:t>
            </w:r>
          </w:p>
        </w:tc>
        <w:tc>
          <w:tcPr>
            <w:tcW w:type="dxa" w:w="107"/>
            <w:tcBorders>
              <w:top w:color="000000" w:sz="0" w:val="none"/>
              <w:bottom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r>
      <w:tr>
        <w:tc>
          <w:tcPr>
            <w:tcW w:type="dxa" w:w="107"/>
            <w:tcBorders>
              <w:top w:color="000000" w:sz="0" w:val="none"/>
              <w:bottom w:color="000000" w:sz="0" w:val="none"/>
              <w:right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3212"/>
            <w:gridSpan w:val="2"/>
            <w:tcBorders>
              <w:top w:color="000000" w:sz="0" w:val="none"/>
              <w:left w:color="000000" w:sz="0" w:val="none"/>
              <w:bottom w:color="000000" w:sz="0" w:val="none"/>
              <w:right w:color="000000" w:sz="0" w:val="none"/>
            </w:tcBorders>
            <w:vAlign w:val="top"/>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ff"/>
                <w:i w:val="off"/>
                <w:strike w:val="off"/>
              </w:rPr>
            </w:r>
            <w:r>
              <w:rPr>
                <w:sz w:val="28"/>
                <w:rFonts w:ascii="Times New Roman" w:hAnsi="Times New Roman" w:cs="Times New Roman" w:eastAsia="Times New Roman"/>
                <w:u w:val="none"/>
              </w:rPr>
              <w:t>дефицита бюджета</w:t>
            </w:r>
          </w:p>
        </w:tc>
        <w:tc>
          <w:tcPr>
            <w:tcW w:type="dxa" w:w="3427"/>
            <w:vMerge w:val="restart"/>
            <w:tcBorders>
              <w:top w:color="000000" w:sz="0" w:val="none"/>
              <w:left w:color="000000" w:sz="0" w:val="none"/>
              <w:bottom w:color="000000" w:sz="0" w:val="none"/>
              <w:right w:color="000000" w:sz="0" w:val="none"/>
            </w:tcBorders>
            <w:vAlign w:val="bottom"/>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ff"/>
                <w:i w:val="off"/>
                <w:strike w:val="off"/>
              </w:rPr>
            </w:r>
            <w:r>
              <w:rPr>
                <w:sz w:val="28"/>
                <w:rFonts w:ascii="Times New Roman" w:hAnsi="Times New Roman" w:cs="Times New Roman" w:eastAsia="Times New Roman"/>
                <w:u w:val="single"/>
                <w:strike w:val="off"/>
              </w:rPr>
              <w:t>КОМИТЕТ ПОТРЕБИТЕЛЬСКОГО РЫНКА, УСЛУГ И РАЗВИТИЯ ПРЕДПРИНИМАТЕЛЬСТВА АДМИНИСТРАЦИИ ГОРОДА ОРЕНБУРГА</w:t>
            </w:r>
          </w:p>
        </w:tc>
        <w:tc>
          <w:tcPr>
            <w:tcW w:type="dxa" w:w="2142"/>
            <w:vMerge/>
            <w:tcBorders>
              <w:top w:color="000000" w:sz="0" w:val="none"/>
              <w:left w:color="000000" w:sz="0" w:val="none"/>
              <w:bottom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1713"/>
            <w:vMerge/>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107"/>
            <w:tcBorders>
              <w:top w:color="000000" w:sz="0" w:val="none"/>
              <w:bottom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r>
      <w:tr>
        <w:tc>
          <w:tcPr>
            <w:tcW w:type="dxa" w:w="107"/>
            <w:tcBorders>
              <w:top w:color="000000" w:sz="0" w:val="none"/>
              <w:bottom w:color="000000" w:sz="0" w:val="none"/>
              <w:right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3212"/>
            <w:gridSpan w:val="2"/>
            <w:tcBorders>
              <w:top w:color="000000" w:sz="0" w:val="none"/>
              <w:left w:color="000000" w:sz="0" w:val="none"/>
              <w:bottom w:color="000000" w:sz="0" w:val="none"/>
              <w:right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3427"/>
            <w:vMerge/>
            <w:tcBorders>
              <w:top w:color="000000" w:sz="0" w:val="none"/>
              <w:left w:color="000000" w:sz="0" w:val="none"/>
              <w:bottom w:color="000000" w:sz="0" w:val="none"/>
              <w:right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2142"/>
            <w:vMerge/>
            <w:tcBorders>
              <w:top w:color="000000" w:sz="0" w:val="none"/>
              <w:left w:color="000000" w:sz="0" w:val="none"/>
              <w:bottom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1713"/>
            <w:vMerge/>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107"/>
            <w:tcBorders>
              <w:top w:color="000000" w:sz="0" w:val="none"/>
              <w:bottom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r>
      <w:tr>
        <w:tc>
          <w:tcPr>
            <w:tcW w:type="dxa" w:w="107"/>
            <w:tcBorders>
              <w:top w:color="000000" w:sz="0" w:val="none"/>
              <w:bottom w:color="000000" w:sz="0" w:val="none"/>
              <w:right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3212"/>
            <w:gridSpan w:val="2"/>
            <w:tcBorders>
              <w:top w:color="000000" w:sz="0" w:val="none"/>
              <w:left w:color="000000" w:sz="0" w:val="none"/>
              <w:bottom w:color="000000" w:sz="0" w:val="none"/>
              <w:right w:color="000000" w:sz="0" w:val="none"/>
            </w:tcBorders>
            <w:vAlign w:val="top"/>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ff"/>
                <w:i w:val="off"/>
                <w:strike w:val="off"/>
              </w:rPr>
            </w:r>
            <w:r>
              <w:rPr>
                <w:sz w:val="28"/>
                <w:rFonts w:ascii="Times New Roman" w:hAnsi="Times New Roman" w:cs="Times New Roman" w:eastAsia="Times New Roman"/>
                <w:u w:val="none"/>
              </w:rPr>
              <w:t>Наименование бюджета</w:t>
            </w:r>
          </w:p>
        </w:tc>
        <w:tc>
          <w:tcPr>
            <w:tcW w:type="dxa" w:w="3427"/>
            <w:vMerge w:val="restart"/>
            <w:tcBorders>
              <w:top w:color="000000" w:sz="0" w:val="none"/>
              <w:left w:color="000000" w:sz="0" w:val="none"/>
              <w:bottom w:color="000000" w:sz="0" w:val="none"/>
              <w:right w:color="000000" w:sz="0" w:val="none"/>
            </w:tcBorders>
            <w:vAlign w:val="bottom"/>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ff"/>
                <w:i w:val="off"/>
                <w:strike w:val="off"/>
              </w:rPr>
            </w:r>
            <w:r>
              <w:rPr>
                <w:sz w:val="28"/>
                <w:rFonts w:ascii="Times New Roman" w:hAnsi="Times New Roman" w:cs="Times New Roman" w:eastAsia="Times New Roman"/>
                <w:u w:val="single"/>
                <w:strike w:val="off"/>
              </w:rPr>
              <w:t>г.Оренбург</w:t>
            </w:r>
          </w:p>
        </w:tc>
        <w:tc>
          <w:tcPr>
            <w:tcW w:type="dxa" w:w="2142"/>
            <w:vMerge w:val="restart"/>
            <w:tcBorders>
              <w:top w:color="000000" w:sz="0" w:val="none"/>
              <w:left w:color="000000" w:sz="0" w:val="none"/>
              <w:bottom w:color="000000" w:sz="0" w:val="none"/>
            </w:tcBorders>
            <w:vAlign w:val="bottom"/>
          </w:tcPr>
          <w:p>
            <w:pPr>
              <w:spacing w:before="0" w:after="0" w:lineRule="atLeast" w:line="20"/>
              <w:ind w:right="56" w:left="56"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ff"/>
                <w:i w:val="off"/>
                <w:strike w:val="off"/>
              </w:rPr>
            </w:r>
            <w:r>
              <w:rPr>
                <w:sz w:val="28"/>
                <w:rFonts w:ascii="Times New Roman" w:hAnsi="Times New Roman" w:cs="Times New Roman" w:eastAsia="Times New Roman"/>
                <w:u w:val="none"/>
              </w:rPr>
              <w:t>по ОКТМО</w:t>
            </w:r>
          </w:p>
        </w:tc>
        <w:tc>
          <w:tcPr>
            <w:tcW w:type="dxa" w:w="1713"/>
            <w:vMerge w:val="restart"/>
            <w:vAlign w:val="bottom"/>
          </w:tcPr>
          <w:p>
            <w:pPr>
              <w:spacing w:before="0" w:after="0" w:lineRule="atLeast" w:line="20"/>
              <w:ind w:right="56" w:left="56"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ff"/>
                <w:i w:val="off"/>
                <w:strike w:val="off"/>
              </w:rPr>
            </w:r>
            <w:r>
              <w:rPr>
                <w:sz w:val="28"/>
                <w:rFonts w:ascii="Times New Roman" w:hAnsi="Times New Roman" w:cs="Times New Roman" w:eastAsia="Times New Roman"/>
                <w:u w:val="none"/>
              </w:rPr>
              <w:t>53701000</w:t>
            </w:r>
          </w:p>
        </w:tc>
        <w:tc>
          <w:tcPr>
            <w:tcW w:type="dxa" w:w="107"/>
            <w:tcBorders>
              <w:top w:color="000000" w:sz="0" w:val="none"/>
              <w:bottom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r>
      <w:tr>
        <w:tc>
          <w:tcPr>
            <w:tcW w:type="dxa" w:w="107"/>
            <w:tcBorders>
              <w:top w:color="000000" w:sz="0" w:val="none"/>
              <w:bottom w:color="000000" w:sz="0" w:val="none"/>
              <w:right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3212"/>
            <w:gridSpan w:val="2"/>
            <w:tcBorders>
              <w:top w:color="000000" w:sz="0" w:val="none"/>
              <w:left w:color="000000" w:sz="0" w:val="none"/>
              <w:bottom w:color="000000" w:sz="0" w:val="none"/>
              <w:right w:color="000000" w:sz="0" w:val="none"/>
            </w:tcBorders>
            <w:vAlign w:val="top"/>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ff"/>
                <w:i w:val="off"/>
                <w:strike w:val="off"/>
              </w:rPr>
            </w:r>
            <w:r>
              <w:rPr>
                <w:sz w:val="28"/>
                <w:rFonts w:ascii="Times New Roman" w:hAnsi="Times New Roman" w:cs="Times New Roman" w:eastAsia="Times New Roman"/>
                <w:u w:val="none"/>
              </w:rPr>
              <w:t>(публично-правового</w:t>
            </w:r>
          </w:p>
        </w:tc>
        <w:tc>
          <w:tcPr>
            <w:tcW w:type="dxa" w:w="3427"/>
            <w:vMerge/>
            <w:tcBorders>
              <w:top w:color="000000" w:sz="0" w:val="none"/>
              <w:left w:color="000000" w:sz="0" w:val="none"/>
              <w:bottom w:color="000000" w:sz="0" w:val="none"/>
              <w:right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2142"/>
            <w:vMerge/>
            <w:tcBorders>
              <w:top w:color="000000" w:sz="0" w:val="none"/>
              <w:left w:color="000000" w:sz="0" w:val="none"/>
              <w:bottom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1713"/>
            <w:vMerge/>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107"/>
            <w:tcBorders>
              <w:top w:color="000000" w:sz="0" w:val="none"/>
              <w:bottom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r>
      <w:tr>
        <w:tc>
          <w:tcPr>
            <w:tcW w:type="dxa" w:w="107"/>
            <w:tcBorders>
              <w:top w:color="000000" w:sz="0" w:val="none"/>
              <w:bottom w:color="000000" w:sz="0" w:val="none"/>
              <w:right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3212"/>
            <w:gridSpan w:val="2"/>
            <w:tcBorders>
              <w:top w:color="000000" w:sz="0" w:val="none"/>
              <w:left w:color="000000" w:sz="0" w:val="none"/>
              <w:bottom w:color="000000" w:sz="0" w:val="none"/>
              <w:right w:color="000000" w:sz="0" w:val="none"/>
            </w:tcBorders>
            <w:vAlign w:val="top"/>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ff"/>
                <w:i w:val="off"/>
                <w:strike w:val="off"/>
              </w:rPr>
            </w:r>
            <w:r>
              <w:rPr>
                <w:sz w:val="28"/>
                <w:rFonts w:ascii="Times New Roman" w:hAnsi="Times New Roman" w:cs="Times New Roman" w:eastAsia="Times New Roman"/>
                <w:u w:val="none"/>
              </w:rPr>
              <w:t>образования)</w:t>
            </w:r>
          </w:p>
        </w:tc>
        <w:tc>
          <w:tcPr>
            <w:tcW w:type="dxa" w:w="3427"/>
            <w:vMerge/>
            <w:tcBorders>
              <w:top w:color="000000" w:sz="0" w:val="none"/>
              <w:left w:color="000000" w:sz="0" w:val="none"/>
              <w:bottom w:color="000000" w:sz="0" w:val="none"/>
              <w:right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2142"/>
            <w:vMerge/>
            <w:tcBorders>
              <w:top w:color="000000" w:sz="0" w:val="none"/>
              <w:left w:color="000000" w:sz="0" w:val="none"/>
              <w:bottom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1713"/>
            <w:vMerge/>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107"/>
            <w:tcBorders>
              <w:top w:color="000000" w:sz="0" w:val="none"/>
              <w:bottom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r>
      <w:tr>
        <w:tc>
          <w:tcPr>
            <w:tcW w:type="dxa" w:w="107"/>
            <w:tcBorders>
              <w:top w:color="000000" w:sz="0" w:val="none"/>
              <w:bottom w:color="000000" w:sz="0" w:val="none"/>
              <w:right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8781"/>
            <w:gridSpan w:val="4"/>
            <w:tcBorders>
              <w:top w:color="000000" w:sz="0" w:val="none"/>
              <w:left w:color="000000" w:sz="0" w:val="none"/>
              <w:bottom w:color="000000" w:sz="0" w:val="none"/>
              <w:right w:color="000000" w:sz="0" w:val="none"/>
            </w:tcBorders>
            <w:vAlign w:val="center"/>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ff"/>
                <w:i w:val="off"/>
                <w:strike w:val="off"/>
              </w:rPr>
            </w:r>
            <w:r>
              <w:rPr>
                <w:sz w:val="28"/>
                <w:rFonts w:ascii="Times New Roman" w:hAnsi="Times New Roman" w:cs="Times New Roman" w:eastAsia="Times New Roman"/>
                <w:u w:val="none"/>
              </w:rPr>
              <w:t xml:space="preserve">Периодичность: </w:t>
            </w:r>
            <w:r>
              <w:rPr>
                <w:sz w:val="28"/>
                <w:rFonts w:ascii="Times New Roman" w:hAnsi="Times New Roman" w:cs="Times New Roman" w:eastAsia="Times New Roman"/>
                <w:u w:val="none"/>
              </w:rPr>
              <w:t>месячная, квартальная, годовая</w:t>
            </w:r>
          </w:p>
        </w:tc>
        <w:tc>
          <w:tcPr>
            <w:tcW w:type="dxa" w:w="1713"/>
          </w:tcPr>
          <w:p>
            <w:pPr>
              <w:spacing w:before="0" w:after="0" w:lineRule="atLeast" w:line="20"/>
              <w:ind w:right="56" w:left="56" w:firstLine="0"/>
              <w:jc w:val="center"/>
            </w:pPr>
            <w:r>
              <w:rPr/>
            </w:r>
            <w:r>
              <w:rPr>
                <w:u w:val="none"/>
                <w:sz w:val="28"/>
                <w:rFonts w:ascii="Times New Roman" w:hAnsi="Times New Roman" w:cs="Times New Roman" w:eastAsia="Times New Roman"/>
                <w:b w:val="off"/>
                <w:i w:val="off"/>
                <w:strike w:val="off"/>
              </w:rPr>
              <w:t/>
            </w:r>
          </w:p>
        </w:tc>
        <w:tc>
          <w:tcPr>
            <w:tcW w:type="dxa" w:w="107"/>
            <w:tcBorders>
              <w:top w:color="000000" w:sz="0" w:val="none"/>
              <w:bottom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r>
      <w:tr>
        <w:tc>
          <w:tcPr>
            <w:tcW w:type="dxa" w:w="107"/>
            <w:tcBorders>
              <w:top w:color="000000" w:sz="0" w:val="none"/>
              <w:bottom w:color="000000" w:sz="0" w:val="none"/>
              <w:right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3212"/>
            <w:gridSpan w:val="2"/>
            <w:tcBorders>
              <w:top w:color="000000" w:sz="0" w:val="none"/>
              <w:left w:color="000000" w:sz="0" w:val="none"/>
              <w:bottom w:color="000000" w:sz="0" w:val="none"/>
              <w:right w:color="000000" w:sz="0" w:val="none"/>
            </w:tcBorders>
            <w:vAlign w:val="top"/>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ff"/>
                <w:i w:val="off"/>
                <w:strike w:val="off"/>
              </w:rPr>
            </w:r>
            <w:r>
              <w:rPr>
                <w:sz w:val="28"/>
                <w:rFonts w:ascii="Times New Roman" w:hAnsi="Times New Roman" w:cs="Times New Roman" w:eastAsia="Times New Roman"/>
                <w:u w:val="none"/>
              </w:rPr>
              <w:t>Единица измерения: руб.</w:t>
            </w:r>
          </w:p>
        </w:tc>
        <w:tc>
          <w:tcPr>
            <w:tcW w:type="dxa" w:w="3427"/>
            <w:tcBorders>
              <w:top w:color="000000" w:sz="0" w:val="none"/>
              <w:left w:color="000000" w:sz="0" w:val="none"/>
              <w:bottom w:color="000000" w:sz="0" w:val="none"/>
              <w:right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c>
          <w:tcPr>
            <w:tcW w:type="dxa" w:w="2142"/>
            <w:tcBorders>
              <w:top w:color="000000" w:sz="0" w:val="none"/>
              <w:left w:color="000000" w:sz="0" w:val="none"/>
              <w:bottom w:color="000000" w:sz="0" w:val="none"/>
            </w:tcBorders>
            <w:vAlign w:val="bottom"/>
          </w:tcPr>
          <w:p>
            <w:pPr>
              <w:spacing w:before="0" w:after="0" w:lineRule="atLeast" w:line="20"/>
              <w:ind w:right="56" w:left="56"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ff"/>
                <w:i w:val="off"/>
                <w:strike w:val="off"/>
              </w:rPr>
            </w:r>
            <w:r>
              <w:rPr>
                <w:sz w:val="28"/>
                <w:rFonts w:ascii="Times New Roman" w:hAnsi="Times New Roman" w:cs="Times New Roman" w:eastAsia="Times New Roman"/>
                <w:u w:val="none"/>
              </w:rPr>
              <w:t>по ОКЕИ</w:t>
            </w:r>
          </w:p>
        </w:tc>
        <w:tc>
          <w:tcPr>
            <w:tcW w:type="dxa" w:w="1713"/>
            <w:vAlign w:val="bottom"/>
          </w:tcPr>
          <w:p>
            <w:pPr>
              <w:spacing w:before="0" w:after="0" w:lineRule="atLeast" w:line="20"/>
              <w:ind w:right="56" w:left="56"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ff"/>
                <w:i w:val="off"/>
                <w:strike w:val="off"/>
              </w:rPr>
            </w:r>
            <w:r>
              <w:rPr>
                <w:sz w:val="28"/>
                <w:rFonts w:ascii="Times New Roman" w:hAnsi="Times New Roman" w:cs="Times New Roman" w:eastAsia="Times New Roman"/>
                <w:u w:val="none"/>
              </w:rPr>
              <w:t>383</w:t>
            </w:r>
          </w:p>
        </w:tc>
        <w:tc>
          <w:tcPr>
            <w:tcW w:type="dxa" w:w="107"/>
            <w:tcBorders>
              <w:top w:color="000000" w:sz="0" w:val="none"/>
              <w:bottom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r>
      <w:tr>
        <w:tc>
          <w:tcPr>
            <w:tcW w:type="dxa" w:w="10708"/>
            <w:gridSpan w:val="7"/>
            <w:tcBorders>
              <w:top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p>
        </w:tc>
      </w:tr>
    </w:tbl>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n"/>
        </w:rPr>
        <w:t>Раздел 1 "Организационная структура субъекта бюджетной отчетности"</w:t>
      </w:r>
    </w:p>
    <w:p>
      <w:pPr>
        <w:spacing w:before="0" w:after="0"/>
        <w:ind w:firstLine="709"/>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Комитет потребительского рынка, услуг и развития предпринимательства администрации города Оренбурга (далее - Комитет) учрежден 28.10.2021 согласно решению Оренбургского городского Совета           № 157 (с изменениями). Комитет является отраслевым (функциональным) органом Администрации города Оренбурга, обладает правами юридического лица и находится в непосредственном подчинении заместителя Главы города Оренбурга по экономике и финансам. Согласно внесенным изменениям в решение ОГС от 25.12.2025 № 43 «О внесении изменений в решение Оренбургского городского Совета от 11.10.2019 № 757» переподчинен </w:t>
      </w:r>
      <w:r>
        <w:rPr>
          <w:sz w:val="28"/>
          <w:rFonts w:ascii="Times New Roman" w:hAnsi="Times New Roman" w:cs="Times New Roman" w:eastAsia="Times New Roman"/>
          <w:u w:val="none"/>
          <w:color w:val="000000"/>
        </w:rPr>
        <w:t>первому заместителю Главы города Оренбурга.</w:t>
      </w:r>
    </w:p>
    <w:p>
      <w:pPr>
        <w:spacing w:before="0" w:after="0"/>
        <w:ind w:firstLine="708"/>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Комитет в своей деятельности руководствуется общепризнанными принципами и нормами международного права, международными договорами Российской Федерации, </w:t>
      </w:r>
      <w:r>
        <w:rPr>
          <w:sz w:val="28"/>
          <w:rFonts w:ascii="Times New Roman" w:hAnsi="Times New Roman" w:cs="Times New Roman" w:eastAsia="Times New Roman"/>
          <w:u w:val="none"/>
          <w:strike w:val="off"/>
        </w:rPr>
        <w:t>Конституцией</w:t>
      </w:r>
      <w:r>
        <w:rPr>
          <w:sz w:val="28"/>
          <w:rFonts w:ascii="Times New Roman" w:hAnsi="Times New Roman" w:cs="Times New Roman" w:eastAsia="Times New Roman"/>
          <w:u w:val="none"/>
        </w:rPr>
        <w:t> Российской Федерации, федеральными конституционными законами, Федеральным </w:t>
      </w:r>
      <w:r>
        <w:rPr>
          <w:sz w:val="28"/>
          <w:rFonts w:ascii="Times New Roman" w:hAnsi="Times New Roman" w:cs="Times New Roman" w:eastAsia="Times New Roman"/>
          <w:u w:val="none"/>
          <w:strike w:val="off"/>
        </w:rPr>
        <w:t>законом</w:t>
      </w:r>
      <w:r>
        <w:rPr>
          <w:sz w:val="28"/>
          <w:rFonts w:ascii="Times New Roman" w:hAnsi="Times New Roman" w:cs="Times New Roman" w:eastAsia="Times New Roman"/>
          <w:u w:val="none"/>
        </w:rPr>
        <w:t> от 06.10.2003 № 131-ФЗ «Об общих принципах организации местного самоуправления в Российской Федерации», другими федеральными законами, издаваемыми в соответствии с ними иными нормативными правовыми актами Российской Федерации (указами и распоряжениями Президента Российской Федерации, постановлениями и распоряжениями Правительства Российской Федерации, иными нормативными правовыми актами федеральных органов исполнительной власти), </w:t>
      </w:r>
      <w:r>
        <w:rPr>
          <w:sz w:val="28"/>
          <w:rFonts w:ascii="Times New Roman" w:hAnsi="Times New Roman" w:cs="Times New Roman" w:eastAsia="Times New Roman"/>
          <w:u w:val="none"/>
          <w:strike w:val="off"/>
        </w:rPr>
        <w:t>Уставом</w:t>
      </w:r>
      <w:r>
        <w:rPr>
          <w:sz w:val="28"/>
          <w:rFonts w:ascii="Times New Roman" w:hAnsi="Times New Roman" w:cs="Times New Roman" w:eastAsia="Times New Roman"/>
          <w:u w:val="none"/>
        </w:rPr>
        <w:t> (Основным Законом) Оренбургской области, законами и иными нормативными правовыми актами Оренбургской области, </w:t>
      </w:r>
      <w:r>
        <w:rPr>
          <w:sz w:val="28"/>
          <w:rFonts w:ascii="Times New Roman" w:hAnsi="Times New Roman" w:cs="Times New Roman" w:eastAsia="Times New Roman"/>
          <w:u w:val="none"/>
          <w:strike w:val="off"/>
        </w:rPr>
        <w:t>Уставом</w:t>
      </w:r>
      <w:r>
        <w:rPr>
          <w:sz w:val="28"/>
          <w:rFonts w:ascii="Times New Roman" w:hAnsi="Times New Roman" w:cs="Times New Roman" w:eastAsia="Times New Roman"/>
          <w:u w:val="none"/>
        </w:rPr>
        <w:t> муниципального образования «город Оренбург» и иными муниципальными правовыми актами, а также Положением о комитете, утвержденным решением Оренбургского городского Совета от 28.10.2021 № 157.  </w:t>
      </w:r>
    </w:p>
    <w:p>
      <w:pPr>
        <w:spacing w:before="0" w:after="0"/>
        <w:ind w:firstLine="539"/>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Полное наименование - комитет потребительского рынка, услуг и развития предпринимательства администрации города Оренбурга.</w:t>
      </w:r>
    </w:p>
    <w:p>
      <w:pPr>
        <w:spacing w:before="0" w:after="0"/>
        <w:ind w:firstLine="539"/>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Сокращенное наименование - КПРУиРП.</w:t>
      </w:r>
    </w:p>
    <w:p>
      <w:pPr>
        <w:spacing w:before="0" w:after="0"/>
        <w:ind w:firstLine="539"/>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Место нахождения комитета - 460018, город Оренбург, пр. Победы, 24.</w:t>
      </w:r>
    </w:p>
    <w:p>
      <w:pPr>
        <w:spacing w:before="0" w:after="0"/>
        <w:ind w:firstLine="709"/>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ИНН 5610243437,  КПП 561001001, ОКПО 78669856, ОКТМО 53701000, ОГРН 1215600011824. Организационно-правовая форма (ОКОПФ): 75404 –Муниципальные казенные учреждения. ОКВЭД 84.11.35.</w:t>
      </w:r>
    </w:p>
    <w:p>
      <w:pPr>
        <w:spacing w:before="0" w:after="0"/>
        <w:ind w:firstLine="539"/>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Комитет имеет самостоятельный баланс, счета в соответствии с действующим законодательством, круглую печать со своим наименованием и изображением герба города Оренбурга, штампы и бланки установленного образца.</w:t>
      </w:r>
    </w:p>
    <w:p>
      <w:pPr>
        <w:spacing w:before="0" w:after="0"/>
        <w:ind w:firstLine="539"/>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Комитет от своего имени приобретает имущественные и неимущественные права, несет обязанности, выступает истцом и ответчиком в судах в соответствии с действующим законодательством и муниципальными правовыми актами.</w:t>
      </w:r>
    </w:p>
    <w:p>
      <w:pPr>
        <w:spacing w:before="0" w:after="0"/>
        <w:ind w:firstLine="539"/>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Комитет владеет, пользуется и распоряжается закрепленным за ним на праве оперативного управления муниципальным имуществом в соответствии с действующим законодательством и муниципальными правовыми актами.</w:t>
      </w:r>
    </w:p>
    <w:p>
      <w:pPr>
        <w:spacing w:before="0" w:after="0"/>
        <w:ind w:firstLine="539"/>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Реорганизация и ликвидация комитета осуществляются в соответствии с действующим законодательством на основании решения Оренбургского городского Совета.</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Правом первой подписи наделен председатель комитета. Правом второй подписи наделен директор муниципального казенного учреждения «Центр муниципальных расчетов». </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Бюджетные полномочия в отчетном периоде у комитета не изменились. Комитет осуществляет функции главного распорядителя бюджетных средств города Оренбурга, а также осуществляет полномочия главного администратора доходов города Оренбурга. Код Главы 013.</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В финансовом управлении администрации города Оренбурга управлению открыты лицевые счета:</w:t>
      </w:r>
    </w:p>
    <w:p>
      <w:pPr>
        <w:spacing w:before="0" w:after="0"/>
        <w:ind w:firstLine="709"/>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013.10.001.1 – лицевой счет получателя бюджетных средств;</w:t>
      </w:r>
    </w:p>
    <w:p>
      <w:pPr>
        <w:spacing w:before="0" w:after="0"/>
        <w:ind w:firstLine="709"/>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013.10.001.3 – лицевой счет для отражения операций со средствами, поступающими во временное распоряжение. </w:t>
      </w:r>
    </w:p>
    <w:p>
      <w:pPr>
        <w:spacing w:before="0" w:after="0"/>
        <w:ind w:firstLine="709"/>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В УФК по Оренбургской области открыт лицевой счет администратора доходов бюджета 04533D06280.</w:t>
      </w:r>
    </w:p>
    <w:p>
      <w:pPr>
        <w:spacing w:before="0" w:after="0"/>
        <w:ind w:firstLine="566"/>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Банковских счетов в кредитных организациях комитет не имеет.</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Комитет от имени Администрации города Оренбурга осуществляет полномочия (функции) по созданию условий для обеспечения жителей услугами общественного питания, торговли и бытового обслуживания, формированию единой городской политики в сфере размещения объектов наружной рекламы, объектов наружной информации на территории муниципального образования «город Оренбург», направленной на улучшение внешнего облика муниципального образования «город Оренбург», определение приоритетных направлений деятельности в этой сфере, созданию условий для расширения рынка сельскохозяйственной продукции, сырья и продовольствия, созданию условий для развития малого и среднего предпринимательства на территории муниципального образования «город Оренбург» в соответствии законодательством Российской Федерации, Оренбургской области и муниципальными правовыми актами.</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В соответствии с Законом Оренбургской области от 26 октября 2022 года № 518/210-VII-ОЗ «О перераспределении отдельных полномочий в сфере рекламы и в области регулирования торговой деятельности между органами местного самоуправления муниципального образования город Оренбург Оренбургской области и органами государственной власти Оренбургской области» с 01.04.2023 (с учетом переходного периода) к полномочиям органов государственной власти Оренбургской области относятся следующие полномочия органов местного самоуправления муниципального образования «город Оренбург»:</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в сфере размещения наружной рекламы: утверждение схемы размещения рекламных конструкций, выдача разрешений на установку и эксплуатацию рекламных конструкций, демонтаж рекламных конструкций и др.;</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в области регулирования торговой деятельности: разработка и утверждение схемы размещения нестационарных торговых объектов, внесение в нее изменений; ее опубликование.</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Полномочия (функции) комитета по созданию условий для обеспечения жителей услугами общественного питания, торговли и бытового обслуживания:</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Разрабатывает в соответствии с законодательством Российской Федерации, Оренбургской области и муниципальными правовыми актами порядок и условия осуществления торговой деятельности применительно к муниципальным предприятиям и учреждениям торговли.</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Обеспечивает в соответствии с законодательством Российской Федерации, Оренбургской области и муниципальными правовыми актами исполнение переданных государственных полномочий Оренбургской области по формированию торгового реестра в части внесения в него сведений о хозяйствующих субъектах, осуществляющих торговую деятельность, и хозяйствующих субъектах, осуществляющих поставки товаров (за исключением производителей товаров) на территории муниципального образования «город Оренбург», обеспечивает предоставление информации в единую областную информационную систему о субъектах и объектах в сфере торговой деятельности, расположенных на территории муниципального образования «город Оренбург».</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Предоставляет информацию государственным органам, органам местного самоуправления и иным уполномоченным органам для мониторинга цен на основные продукты питания и социально значимые виды услуг на территории муниципального образования «город Оренбург».</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Проводит анализ финансовых, экономических, социальных и иных показателей состояния торговли, общественного питания и бытового обслуживания на территории муниципального образования «город Оренбург» и анализ эффективности применения мер по развитию торговли, общественного питания и бытового обслуживания на территории городского округа.</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Обеспечивает участие организаций торговли, общественного питания и бытового обслуживания при проведении мероприятий, организуемых Администрацией города Оренбурга.</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Организует проведение ярмарок и продажу товаров (выполнение работ, оказание услуг) на них на территории муниципального образования «город Оренбург».</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Осуществляет функции по предоставлению права на размещение на территории муниципального образования «город Оренбург» нестационарных торговых объектов в порядке, установленном законодательством Российской Федерации, Оренбургской области, муниципальными правовыми актами города Оренбурга.</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Проводит торги на право заключения договора на размещение нестационарного торгового объекта на территории муниципального образования «город Оренбург», заключает по результатам проведенных торгов договоры на размещение нестационарных торговых объектов на территории муниципального образования «город Оренбург», а также без проведения торгов в случаях, установленных законодательством Российской Федерации, Оренбургской области, муниципальными правовыми актами города Оренбурга.</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Организует выдачу разрешения на право организации розничного рынка или отказа в его предоставлении в соответствии с законодательством Российской Федерации, Оренбургской области и муниципальными правовыми актами.</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Вносит предложения по определению на универсальных рынках количества торговых мест для осуществления деятельности по продаже сельскохозяйственной продукции гражданами, ведущими крестьянские (фермерские) хозяйства, личные подсобные хозяйства или занимающимися садоводством, огородничеством, животноводством, в порядке, установленном уполномоченным органом государственной власти Оренбургской области.</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Извещает федеральные органы исполнительной власти, осуществляющие контроль за качеством и безопасностью товаров (работ, услуг), при выявлении по жалобе потребителя товаров (работ, услуг) ненадлежащего качества, а также опасных для жизни, здоровья, имущества потребителей.</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Участвует в мероприятиях, предусмотренных законодательством Российской Федерации, Оренбургской области и муниципальными правовыми актами о лицензировании розничной продажи алкогольной продукции, на территории муниципального образования «город Оренбург».</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Участвует в подготовке и организации мероприятий по определению в соответствии с законодательством Российской Федерации, Оренбургской области и муниципальными правовыми актами границ прилегающих территорий,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Вносит предложения по определению мест расположения помещений, специально предназначенных для розничной продажи продукции средств массовой информации, специализирующихся на сообщениях и материалах эротического характера, по определению критериев отнесения тех или иных помещений к специальным.</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Выдает разрешение на размещение объектов на землях или земельных участках, находящихся в муниципальной собственности и государственная собственность на которые не разграничена, без предоставления земельных участков и установления сервитутов в порядке, установленном постановлением Правительства Оренбургской области, в пределах компетенции, установленной постановлением Администрации города Оренбурга.</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Организует проведение мероприятий по выявлению и пресечению торговли и оказания услуг вне специально установленных для этого Администрацией города Оренбурга местах.</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Организует взаимодействие с органами государственной власти Оренбургской области в сфере поддержки бытового обслуживания населения в соответствии с законодательством Российской Федерации с учетом направлений, определенных законодательством Оренбургской области.</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rPr>
          <w:shd w:fill="FFFFFF"/>
        </w:rPr>
        <w:t>Осуществляет мероприятия, связанные с демонтажем незаконно размещенных нестационарных объектов на землях или земельных участках, находящихся в муниципальной собственности на территории муниципального образования "город Оренбург", а также в случаях, установленных </w:t>
      </w:r>
      <w:r>
        <w:rPr>
          <w:sz w:val="28"/>
          <w:rFonts w:ascii="Times New Roman" w:hAnsi="Times New Roman" w:cs="Times New Roman" w:eastAsia="Times New Roman"/>
          <w:u w:val="none"/>
          <w:strike w:val="off"/>
        </w:rPr>
        <w:rPr>
          <w:shd w:fill="FFFFFF"/>
        </w:rPr>
        <w:t>Земельным кодексом</w:t>
      </w:r>
      <w:r>
        <w:rPr>
          <w:sz w:val="28"/>
          <w:rFonts w:ascii="Times New Roman" w:hAnsi="Times New Roman" w:cs="Times New Roman" w:eastAsia="Times New Roman"/>
          <w:u w:val="none"/>
        </w:rPr>
        <w:rPr>
          <w:shd w:fill="FFFFFF"/>
        </w:rPr>
        <w:t> Российской Федерации, иными федеральными законами и (или) законами Оренбургской области, на землях или земельных участках, государственная собственность на которые не разграничена, в соответствии с муниципальным правовым актом.</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Полномочия (функции) комитета по созданию условий для расширения рынка сельскохозяйственной продукции, сырья и продовольствия:</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Организует проведение сельскохозяйственных ярмарок, выставок, сезонных продаж, направленных на обеспечение жителей муниципального образования «город Оренбург» сельскохозяйственной продукцией.</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Содействует осуществлению поддержки производителей сельскохозяйственной продукции, сырья и продовольствия на территории муниципального образования «город Оренбург», направленной на расширение рынка сельскохозяйственной продукции, сырья и продовольствия.</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Изучает состояние и развитие потребительского рынка муниципального образования «город Оренбург» с целью его насыщения сельскохозяйственной продукцией местных товаропроизводителей.</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Содействует созданию условий для реализации в торговой сети сельскохозяйственной продукции, произведенной сельскохозяйственными товаропроизводителями.</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Исполняет в пределах своей компетенции мероприятия, предусмотренные федеральными, региональными, муниципальными программами по вопросам развития предприятий агропромышленного комплекса, крестьянских и личных подсобных хозяйств, на территории муниципального образования «город Оренбург».</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Осуществляет оказание сельскохозяйственным товаропроизводителям, крестьянским и личным подсобным хозяйствам консультационной помощи по вопросам своей компетенции.</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Полномочия (функции) комитета по созданию условий для развития малого и среднего предпринимательства на территории муниципального образования «город Оренбург»:</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Проводит анализ финансовых, экономических, социальных и иных показателей развития малого и среднего предпринимательства и эффективности применения мер по его развитию на территории муниципального образования «город Оренбург».</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Подготавливает прогноз развития малого и среднего предпринимательства на территории муниципального образования «город Оренбург».</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Вносит предложения по формированию инфраструктуры поддержки субъектов малого и среднего предпринимательства на территории городского округа и обеспечению ее деятельности.</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Содействует деятельности некоммерческих организаций, выражающих интересы субъектов малого и среднего предпринимательства, и структурных подразделений указанных организаций.</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Образует координационные или совещательные органы в области развития малого и среднего предпринимательства.</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Организует проведение профессиональных конкурсов, фестивалей, смотров-конкурсов, выставок-продаж с участием предприятий торговли, общественного питания, бытового обслуживания, сельского хозяйства, предприятий-производителей и других форм осуществления предпринимательской деятельности.</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Обеспечивает оказание методологической, консультационной и организационной помощи субъектам малого и среднего предпринимательства.</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Ведет реестр субъектов малого и среднего предпринимательства - получателей поддержки из средств бюджета города Оренбурга.</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Разрабатывает предложения об условиях и порядке поддержки субъектов малого и среднего предпринимательства и организаций, образующих инфраструктуру поддержки субъектов малого и среднего предпринимательства, в виде финансовой, информационной, консультационной поддержки таких субъектов и организаций, поддержки в области подготовки, переподготовки и повышения квалификации их работников, поддержки в области инноваций и промышленного производства, ремесленничества, поддержки субъектов малого и среднего предпринимательства, осуществляющих внешнеэкономическую деятельность, поддержки субъектов малого и среднего предпринимательства, осуществляющих сельскохозяйственную деятельность.</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Проводит анализ эффективности применяемых форм поддержки субъектов малого и среднего предпринимательства за счет средств бюджета города Оренбурга.</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Организует по компетенции прием документов от субъектов малого и среднего предпринимательства, обратившихся в Администрацию города Оренбурга за оказанием поддержки в соответствии с муниципальной программой развития малого и среднего предпринимательства.</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Организует предоставление субсидий субъектам малого и среднего предпринимательства в пределах средств, предусмотренных в бюджете города Оренбурга на реализацию муниципальной программы развития малого и среднего предпринимательства в городе Оренбурге, и субсидий, выделяемых из областного бюджета на государственную поддержку малого и среднего предпринимательства на очередной финансовый год и плановый период в порядке, установленном законодательством Российской Федерации, Оренбургской области, муниципальными правовыми актами.</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Обеспечивает формирование и осуществление муниципальных программ по вопросам своей компетенции.</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Действует от имени Администрации города Оренбурга по договорам, заключенным от имени Администрации города Оренбурга по вопросам, относящимся к его полномочиям (функциям).</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Разрабатывает проекты правовых актов Оренбургского городского Совета, Главы города Оренбурга, Администрации города Оренбурга и документов по вопросам своей компетенции.</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Осуществляет взаимодействие в установленном законодательством Российской Федерации, Оренбургской области и муниципальными правовыми актами порядке с органами государственной власти, органами местного самоуправления и иными организациями всех форм собственности по вопросам своей компетенции.</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Осуществляет в соответствии с законодательством Российской Федерации работы по комплектованию, хранению, учету и использованию архивных документов, образовавшихся в процессе деятельности комитета.</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Осуществляет подготовку отчета Главы города Оренбурга о результатах своей деятельности, деятельности Администрации города Оренбурга, в том числе о решении вопросов, поставленных Оренбургским городским Советом, в пределах компетенции комитета.</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Предоставляет информацию в пределах компетенции комитета для размещения на официальном интернет-портале города Оренбурга в информационно-телекоммуникационной сети "Интернет" в соответствии с порядком, установленным правовым актом Администрации города Оренбурга.</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Осуществляет мониторинг правоприменения муниципальных нормативных правовых актов в пределах своей компетенции в порядке, установленном муниципальным правовым актом.</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Проводит антикоррупционную экспертизу нормативных правовых актов Главы города Оренбурга, Администрации города Оренбурга в соответствии с законодательством Российской Федерации, Оренбургской области в порядке, установленном нормативным правовым актом Администрации города Оренбурга.</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Рассматривает письменные и устные обращения граждан и юридических лиц в пределах компетенции комитета в порядке, установленном законодательством Российской Федерации, Оренбургской области и муниципальными правовыми актами.</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Оказывает бесплатную юридическую помощь гражданам в виде правового консультирования в устной форме в порядке, установленном правовым актом Администрации города Оренбурга.</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Осуществляет правовое информирование и правовое просвещение населения города Оренбурга в порядке, установленном нормативным правовым актом Администрации города Оренбурга.</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Осуществляет на розничных рынках на территории муниципального образования «город Оренбург» контроль за соблюдением требований, установленных Федеральным </w:t>
      </w:r>
      <w:r>
        <w:rPr>
          <w:sz w:val="28"/>
          <w:rFonts w:ascii="Times New Roman" w:hAnsi="Times New Roman" w:cs="Times New Roman" w:eastAsia="Times New Roman"/>
          <w:u w:val="none"/>
          <w:strike w:val="off"/>
        </w:rPr>
        <w:t>законом</w:t>
      </w:r>
      <w:r>
        <w:rPr>
          <w:sz w:val="28"/>
          <w:rFonts w:ascii="Times New Roman" w:hAnsi="Times New Roman" w:cs="Times New Roman" w:eastAsia="Times New Roman"/>
          <w:u w:val="none"/>
        </w:rPr>
        <w:t> от 30.12.2006 № 271-ФЗ «О розничных рынках и о внесении изменений в Трудовой кодекс Российской Федерации» в соответствии с законодательством Российской Федерации, Оренбургской области, муниципальными правовыми актами в пределах компетенции комитета.</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Осуществляет координацию деятельности районных отделов потребительского рынка администраций округов города Оренбурга по вопросам, связанным с выполнением мероприятий по созданию условий для обеспечения жителей муниципального образования «город Оренбург» услугами общественного питания, торговли и бытового обслуживания.</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Осуществляет от имени Администрации города Оренбурга координацию деятельности муниципальных учреждений, созданных для оказания муниципальных услуг, выполнения работ и исполнения муниципальных функций в целях обеспечения реализации полномочий в сфере создания условий для обеспечения жителей муниципального образования «город Оренбург» услугами общественного питания, торговли и бытового обслуживания, организации деятельности розничных рынков, ярмарок на территории муниципального образования «город Оренбург», реализации политики по оформлению единого городского рекламно-информационного пространства муниципального образования «город Оренбург».</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Представляет интересы Главы города Оренбурга, Администрации города Оренбурга в судах общей юрисдикции, арбитражном и третейском судах, прокуратуре, органах государственного контроля (надзора) и в иных органах государственной власти в пределах компетенции комитета по согласованию с заместителем Главы города Оренбурга по экономике и финансам.</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Является уполномоченным органом Администрации города Оренбурга по исполнению в соответствии с законодательством Российской Федерации, Оренбургской области, муниципальными правовыми актами судебных решений, актов других органов или должностных лиц по вопросам компетенции комитета.</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Обрабатывает персональные данные в соответствии с законодательством Российской Федерации, Оренбургской области, муниципальными правовыми актами, в том числе обеспечивает в пределах своей компетенции защиту персональных данных.</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Организует и осуществляет по компетенции мероприятия по мобилизационной подготовке муниципальных предприятий и учреждений, находящихся на территории городского округа.</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Полномочия (функции) комитета, осуществляемые от имени Администрации города Оренбурга по формированию единой городской политики в сфере размещения объектов наружной рекламы, объектов наружной информации на территории муниципального образования «город Оренбург», направленной на улучшение внешнего облика муниципального образования «город Оренбург», определение приоритетных направлений деятельности в этой сфере:</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Обеспечивает проведение торгов на право установки и эксплуатации рекламных конструкций на территории муниципального образования «город Оренбург».</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Проводит торги на право заключения договора на установку и эксплуатацию рекламных конструкций на территории муниципального образования «город Оренбург», заключает договоры на установку и эксплуатацию рекламных конструкций на земельном участке, здании или ином недвижимом имуществе, находящемся в муниципальной собственности, или на земельном участке, собственность на который не разграничена на территории муниципального образования «город Оренбург», в порядке, установленном законодательством Российской Федерации, Оренбургской области, муниципальными правовыми актами.</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Разрабатывает проект плана мероприятий по размещению социальной рекламы на территории муниципального образования «город Оренбург».</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Разрабатывает документацию по закупкам работ, услуг на производство и распространение социальной рекламы в соответствии с законодательством Российской Федерации, Оренбургской области, муниципальными правовыми актами.</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Подготавливает и заключает от имени и в интересах муниципального образования «город Оренбург» договоры о размещении социальной рекламы в соответствии с законодательством Российской Федерации, Оренбургской области, муниципальными правовыми актами.</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Осуществляет полномочия (функции) в сфере размещения на территории муниципального образования «город Оренбург» объектов наружной информации в порядке, установленном муниципальным правовым актом.</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Разрабатывает в установленном порядке проекты муниципальных правовых актов в сфере размещения объектов наружной рекламы и наружной информации.</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Осуществляет полномочия (функции), предусмотренные статьей 21.3-1 Федерального закона от 08.03.2022 № 46-ФЗ «О внесении изменений в отдельные законодательные акты Российской Федерации» при условии уплаты лицом, указанным в пункте 1 статьи 21.3-1 указанного Федерального закона, государственной пошлины за выдачу разрешения на установку и эксплуатацию рекламной конструкции со дня вступления в силу Федерального закона от 23.04.2024 № 98-ФЗ «О внесении изменений в статью 40 Федерального закона «О рекламе» и Федеральный закон «О внесении изменений в отдельные законодательные акты Российской Федерации».</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Выступает в качестве муниципального заказчика и в пределах своей компетенции осуществляет закупки товаров, работ, услуг для обеспечения муниципальных нужд.</w:t>
      </w:r>
    </w:p>
    <w:p>
      <w:pPr>
        <w:spacing w:before="0" w:after="0"/>
        <w:ind w:firstLine="54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Осуществляет муниципальный контроль в сфере благоустройства в пределах компетенции комитета в соответствии с муниципальными правовыми актами города Оренбурга.</w:t>
      </w:r>
    </w:p>
    <w:p>
      <w:pPr>
        <w:spacing w:before="0" w:after="0"/>
        <w:ind w:firstLine="709"/>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 xml:space="preserve">Органом, осуществляющим внешний государственный (муниципальный) финансовый контроль, является </w:t>
      </w:r>
      <w:r>
        <w:rPr>
          <w:sz w:val="28"/>
          <w:rFonts w:ascii="Times New Roman" w:hAnsi="Times New Roman" w:cs="Times New Roman" w:eastAsia="Times New Roman"/>
          <w:u w:val="none"/>
          <w:color w:val="000000"/>
        </w:rPr>
        <w:t>Счетная палата города Оренбурга.</w:t>
      </w:r>
    </w:p>
    <w:p>
      <w:pPr>
        <w:spacing w:before="0" w:after="0"/>
        <w:ind w:firstLine="708"/>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 xml:space="preserve">Годовую бюджетную отчетность составил главный бухгалтер МКУ «ЦМР» Дрыганова Н.Е. Дополнительные сведения об организационной структуре Комитета представлены в </w:t>
      </w:r>
      <w:r>
        <w:rPr>
          <w:sz w:val="28"/>
          <w:rFonts w:ascii="Times New Roman" w:hAnsi="Times New Roman" w:cs="Times New Roman" w:eastAsia="Times New Roman"/>
          <w:u w:val="none"/>
          <w:color w:val="000000"/>
        </w:rPr>
        <w:t>Таблице N 11</w:t>
      </w:r>
      <w:r>
        <w:rPr>
          <w:sz w:val="28"/>
          <w:rFonts w:ascii="Times New Roman" w:hAnsi="Times New Roman" w:cs="Times New Roman" w:eastAsia="Times New Roman"/>
          <w:u w:val="none"/>
        </w:rPr>
        <w:t>. </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n"/>
        </w:rPr>
        <w:t>Раздел 2 "Результаты деятельности субъекта бюджетной отчетности"</w:t>
      </w:r>
    </w:p>
    <w:p>
      <w:pPr>
        <w:spacing w:before="0" w:after="0"/>
        <w:ind w:firstLine="709"/>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Штатная численность Комитета на конец отчетного периода составила 20 единиц, фактически замещено 20 единиц.</w:t>
      </w:r>
    </w:p>
    <w:p>
      <w:pPr>
        <w:spacing w:before="0" w:after="0"/>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p>
    <w:p>
      <w:pPr>
        <w:spacing w:before="0" w:after="0"/>
        <w:ind w:firstLine="709"/>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color w:val="000000"/>
        </w:rPr>
        <w:t>Сотрудники Комитета в течение отчетного периода повышали квалификацию по следующим образовательным программам, в том числе по муниципальной программе «Развитие муниципальной службы в Администрации города Оренбурга» на общую сумму 20000,00 руб.:</w:t>
      </w:r>
    </w:p>
    <w:p>
      <w:pPr>
        <w:spacing w:before="0" w:after="0"/>
        <w:ind w:firstLine="566"/>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color w:val="000000"/>
        </w:rPr>
        <w:t>по теме «Основные направления реализации государственной программы "Развитие сельского хозяйства и регулирование рынков сельскохозяйственной продукции, сырья и продовольствия Оренбургской области» 1 муниципальный служащий на сумму 4000,00 руб.;</w:t>
      </w:r>
    </w:p>
    <w:p>
      <w:pPr>
        <w:spacing w:before="0" w:after="0"/>
        <w:ind w:firstLine="566"/>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color w:val="000000"/>
        </w:rPr>
        <w:t>по теме «Внедрение антимонопольного   комплаенса органами государственной власти и местного самоуправления» 4 муниципальных служащий на сумму 16000,00 руб.</w:t>
      </w:r>
    </w:p>
    <w:p>
      <w:pPr>
        <w:spacing w:before="0" w:after="0"/>
        <w:ind w:firstLine="709"/>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Комитетом за отчетный период заключено 16 контрактов, в том числе:</w:t>
      </w:r>
    </w:p>
    <w:p>
      <w:pPr>
        <w:spacing w:before="0" w:after="0"/>
        <w:ind w:firstLine="709"/>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2 с единственным поставщиком (подрядчиком, исполнителем) на основании п. 1 ч. 1 ст. 93 Закона № 44-ФЗ;</w:t>
      </w:r>
    </w:p>
    <w:p>
      <w:pPr>
        <w:spacing w:before="0" w:after="0"/>
        <w:ind w:firstLine="709"/>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13 с единственным поставщиком (подрядчиком, исполнителем), на основани</w:t>
      </w:r>
      <w:r>
        <w:rPr>
          <w:sz w:val="28"/>
          <w:rFonts w:ascii="Times New Roman" w:hAnsi="Times New Roman" w:cs="Times New Roman" w:eastAsia="Times New Roman"/>
          <w:u w:val="none"/>
          <w:color w:val="000000"/>
        </w:rPr>
        <w:t>и </w:t>
      </w:r>
      <w:r>
        <w:rPr>
          <w:sz w:val="28"/>
          <w:rFonts w:ascii="Times New Roman" w:hAnsi="Times New Roman" w:cs="Times New Roman" w:eastAsia="Times New Roman"/>
          <w:u w:val="none"/>
          <w:color w:val="000000"/>
          <w:strike w:val="off"/>
        </w:rPr>
        <w:t>п. 4 ч. 1 ст. 93</w:t>
      </w:r>
      <w:r>
        <w:rPr>
          <w:sz w:val="28"/>
          <w:rFonts w:ascii="Times New Roman" w:hAnsi="Times New Roman" w:cs="Times New Roman" w:eastAsia="Times New Roman"/>
          <w:u w:val="none"/>
          <w:color w:val="000000"/>
        </w:rPr>
        <w:t> </w:t>
      </w:r>
      <w:r>
        <w:rPr>
          <w:sz w:val="28"/>
          <w:rFonts w:ascii="Times New Roman" w:hAnsi="Times New Roman" w:cs="Times New Roman" w:eastAsia="Times New Roman"/>
          <w:u w:val="none"/>
        </w:rPr>
        <w:t>Закона № 44-ФЗ (закупки до 600 000,00 руб.);</w:t>
      </w:r>
    </w:p>
    <w:p>
      <w:pPr>
        <w:spacing w:before="0" w:after="0"/>
        <w:ind w:firstLine="709"/>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color w:val="000000"/>
        </w:rPr>
        <w:t>1 контракт  по результатам проведения открытого аукциона в электронной форме.</w:t>
      </w:r>
    </w:p>
    <w:p>
      <w:pPr>
        <w:spacing w:before="0" w:after="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color w:val="000000"/>
        </w:rPr>
        <w:t>заключен. </w:t>
      </w:r>
    </w:p>
    <w:p>
      <w:pPr>
        <w:spacing w:before="0" w:after="0"/>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         Экономия бюджетных средств в результате применения конкурентных способов составляет 8062,00 руб.</w:t>
      </w:r>
    </w:p>
    <w:p>
      <w:pPr>
        <w:spacing w:before="0" w:after="0"/>
        <w:ind w:firstLine="709"/>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color w:val="000000"/>
        </w:rPr>
        <w:t>Техническое состояние основных средств Комитета находится на хорошем уровне. В Комитете своевременно проводятся диагностика, техническое обслуживание, ремонт основных средств. Сохранность основных средств обеспечивается посредством их закрепления за материально-ответственными лицами и проведением инвентаризаций имущества. </w:t>
      </w:r>
    </w:p>
    <w:p>
      <w:pPr>
        <w:spacing w:before="0" w:after="0"/>
        <w:ind w:firstLine="709"/>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color w:val="000000"/>
        </w:rPr>
        <w:t>Обеспечение основными средствами осуществляется за счет средств бюджета.</w:t>
      </w:r>
    </w:p>
    <w:p>
      <w:pPr>
        <w:spacing w:before="0" w:after="0"/>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p>
    <w:p>
      <w:pPr>
        <w:spacing w:before="0" w:after="0"/>
        <w:ind w:firstLine="709"/>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color w:val="000000"/>
        </w:rPr>
        <w:t>Арендованные основные средства у Комитета отсутствуют. Недостач и порчи имущества в отчетном периоде не выявлено. </w:t>
      </w:r>
    </w:p>
    <w:p>
      <w:pPr>
        <w:spacing w:before="0" w:after="0"/>
        <w:ind w:firstLine="709"/>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color w:val="000000"/>
        </w:rPr>
        <w:t>Материальные запасы поступают своевременно на основании первичных учетных документов в полном объеме.</w:t>
      </w:r>
    </w:p>
    <w:p>
      <w:pPr>
        <w:spacing w:before="0" w:after="0"/>
        <w:ind w:firstLine="709"/>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color w:val="000000"/>
        </w:rPr>
        <w:t>Обеспеченность основными фондами составляет 100%. </w:t>
      </w:r>
    </w:p>
    <w:p>
      <w:pPr>
        <w:spacing w:before="0" w:after="0"/>
        <w:ind w:firstLine="709"/>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color w:val="000000"/>
        </w:rPr>
        <w:t>Сведения о техническом состоянии основных фондов: показателями технического состояния основных фондов являются коэффициенты износа и годности. Коэффициент износа определяется как отношение суммы износа к первоначальной стоимости основных средств. И коэффициент годности - это отношение остаточной стоимости основных фондов к первоначальной. По состоянию на 01.01.2026 первоначальная стоимость ОС в 2025 году составляет 2302236,91 руб., остаточная стоимость ОС – 0,00 руб., сумма накопленной амортизации ОС составляет  </w:t>
      </w:r>
      <w:r>
        <w:rPr>
          <w:sz w:val="28"/>
          <w:rFonts w:ascii="Times New Roman" w:hAnsi="Times New Roman" w:cs="Times New Roman" w:eastAsia="Times New Roman"/>
          <w:u w:val="none"/>
          <w:color w:val="000000"/>
        </w:rPr>
        <w:t>2302236,91</w:t>
      </w:r>
      <w:r>
        <w:rPr>
          <w:sz w:val="28"/>
          <w:rFonts w:ascii="Times New Roman" w:hAnsi="Times New Roman" w:cs="Times New Roman" w:eastAsia="Times New Roman"/>
          <w:u w:val="none"/>
          <w:color w:val="000000"/>
        </w:rPr>
        <w:t xml:space="preserve"> руб. 1. Коэффициент годности составил 0,00. 2. Коэффициент износа составил 1.</w:t>
      </w:r>
    </w:p>
    <w:p>
      <w:pPr>
        <w:spacing w:before="0" w:after="0"/>
        <w:ind w:firstLine="709"/>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color w:val="000000"/>
        </w:rPr>
        <w:t>Сведения об эффективности использования основных фондов. Оценку эффективности использования основных фондов дают коэффициенты обновления, выбытия и прироста; которые также характеризуют техническое состояние основных средств. Коэффициент обновления отражает интенсивность обновления основных фондов и исчисляется как отношение стоимости вновь поступивших за отчетный период основных средств и их стоимости на конец этого же периода. Коэффициент выбытия характеризует степень интенсивности выбытия основных фондов из сферы производства и рассчитывается как отношение стоимости выбывших за отчетный период основных фондов к их стоимости на начало этого же периода. Коэффициент прироста характеризует уровень прироста основных фондов за определенный период и рассчитывается как отношение стоимости прироста основных фондов к их стоимости на конец периода. По состоянию на 01.01.2026 стоимость поступивших ОС составила 260876,32 руб., стоимость выбывших ОС – 45876,32 руб., стоимость ОС на начало периода – 2087236,91 руб., стоимость ОС на конец 2025 составила 2302236,91 руб.: 1. Коэффициент прироста – 0,09. 2. Коэффициент выбытия – 0,02. 3. Коэффициент обновления – 0,11.</w:t>
      </w:r>
    </w:p>
    <w:p>
      <w:pPr>
        <w:spacing w:before="0" w:after="0"/>
        <w:ind w:firstLine="709"/>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Разукомплектования и доукомплектования основных средств не производилось.</w:t>
      </w:r>
    </w:p>
    <w:p>
      <w:pPr>
        <w:spacing w:before="0" w:after="0"/>
        <w:ind w:firstLine="709"/>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Дополнительные сведения о результатах деятельности субъекта бюджетной отчетности  представлены в Таблице № 12.</w:t>
      </w:r>
    </w:p>
    <w:p>
      <w:pPr>
        <w:spacing w:before="0" w:after="0"/>
        <w:ind w:firstLine="709"/>
        <w:jc w:val="both"/>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СВЕДЕНИЯ о работе Комитета с кредитными учреждениями по реализации зарплатных проектов представлены в таблице ниже:</w:t>
      </w:r>
    </w:p>
    <w:p>
      <w:pPr>
        <w:spacing w:before="0" w:after="0"/>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p>
    <w:tbl>
      <w:tblPr>
        <w:tblW w:w="10711" w:type="dxa"/>
        <w:tblBorders>
          <w:top w:val="single" w:sz="8"/>
          <w:left w:val="single" w:sz="8"/>
          <w:bottom w:val="single" w:sz="8"/>
          <w:right w:val="single" w:sz="8"/>
          <w:insideH w:val="single" w:sz="8"/>
          <w:insideV w:val="single" w:sz="8"/>
        </w:tblBorders>
        <w:tblLayout w:type="fixed"/>
      </w:tblPr>
      <w:tblGrid>
        <w:gridCol w:w="1190"/>
        <w:gridCol w:w="1190"/>
        <w:gridCol w:w="1190"/>
        <w:gridCol w:w="1190"/>
        <w:gridCol w:w="1190"/>
        <w:gridCol w:w="1190"/>
        <w:gridCol w:w="1190"/>
        <w:gridCol w:w="1190"/>
        <w:gridCol w:w="1190"/>
      </w:tblGrid>
      <w:tr>
        <w:trPr>
          <w:tblHeader/>
        </w:trPr>
        <w:tc>
          <w:tcPr>
            <w:tcW w:type="dxa" w:w="1190"/>
            <w:vMerge w:val="restart"/>
          </w:tcPr>
          <w:p>
            <w:pPr>
              <w:spacing w:before="0" w:after="0" w:lineRule="auto" w:line="240"/>
              <w:ind w:right="0" w:left="0" w:firstLine="0"/>
              <w:jc w:val="center"/>
            </w:pPr>
            <w:r>
              <w:rPr/>
            </w:r>
            <w:r>
              <w:rPr>
                <w:u w:val="none"/>
                <w:sz w:val="28"/>
                <w:rFonts w:ascii="Times New Roman" w:hAnsi="Times New Roman" w:cs="Times New Roman" w:eastAsia="Times New Roman"/>
                <w:color w:val="000000"/>
                <w:b w:val="off"/>
                <w:i w:val="off"/>
                <w:strike w:val="off"/>
              </w:rPr>
              <w:t/>
            </w:r>
            <w:r>
              <w:rPr/>
            </w:r>
            <w:r>
              <w:rPr>
                <w:u w:val="none"/>
                <w:sz w:val="28"/>
                <w:rFonts w:ascii="Times New Roman" w:hAnsi="Times New Roman" w:cs="Times New Roman" w:eastAsia="Times New Roman"/>
                <w:color w:val="000000"/>
                <w:b w:val="off"/>
                <w:i w:val="off"/>
                <w:strike w:val="off"/>
              </w:rPr>
            </w:r>
            <w:r>
              <w:rPr>
                <w:sz w:val="28"/>
                <w:rFonts w:ascii="Times New Roman" w:hAnsi="Times New Roman" w:cs="Times New Roman" w:eastAsia="Times New Roman"/>
                <w:color w:val="000000"/>
                <w:u w:val="none"/>
              </w:rPr>
            </w:r>
            <w:r>
              <w:rPr>
                <w:sz w:val="28"/>
                <w:rFonts w:ascii="Times New Roman" w:hAnsi="Times New Roman" w:cs="Times New Roman" w:eastAsia="Times New Roman"/>
                <w:color w:val="000000"/>
                <w:u w:val="none"/>
              </w:rPr>
              <w:t/>
            </w:r>
            <w:r>
              <w:rPr>
                <w:sz w:val="28"/>
                <w:rFonts w:ascii="Times New Roman" w:hAnsi="Times New Roman" w:cs="Times New Roman" w:eastAsia="Times New Roman"/>
                <w:color w:val="000000"/>
                <w:u w:val="none"/>
                <w:strike w:val="off"/>
              </w:rPr>
              <w:t>Наименование банка, оказывающего услуги по зачислению заработной платы на карточные счета сотрудников</w:t>
            </w:r>
          </w:p>
        </w:tc>
        <w:tc>
          <w:tcPr>
            <w:tcW w:type="dxa" w:w="1190"/>
            <w:vMerge w:val="restart"/>
          </w:tcPr>
          <w:p>
            <w:pPr>
              <w:spacing w:before="0" w:after="0" w:lineRule="auto" w:line="240"/>
              <w:ind w:right="0" w:left="0" w:firstLine="0"/>
              <w:jc w:val="center"/>
            </w:pPr>
            <w:r>
              <w:rPr/>
            </w:r>
            <w:r>
              <w:rPr>
                <w:u w:val="none"/>
                <w:sz w:val="28"/>
                <w:rFonts w:ascii="Times New Roman" w:hAnsi="Times New Roman" w:cs="Times New Roman" w:eastAsia="Times New Roman"/>
                <w:color w:val="000000"/>
                <w:b w:val="off"/>
                <w:i w:val="off"/>
                <w:strike w:val="off"/>
              </w:rPr>
              <w:t/>
            </w:r>
            <w:r>
              <w:rPr/>
            </w:r>
            <w:r>
              <w:rPr>
                <w:u w:val="none"/>
                <w:sz w:val="28"/>
                <w:rFonts w:ascii="Times New Roman" w:hAnsi="Times New Roman" w:cs="Times New Roman" w:eastAsia="Times New Roman"/>
                <w:color w:val="000000"/>
                <w:b w:val="off"/>
                <w:i w:val="off"/>
                <w:strike w:val="off"/>
              </w:rPr>
            </w:r>
            <w:r>
              <w:rPr>
                <w:sz w:val="28"/>
                <w:rFonts w:ascii="Times New Roman" w:hAnsi="Times New Roman" w:cs="Times New Roman" w:eastAsia="Times New Roman"/>
                <w:color w:val="000000"/>
                <w:u w:val="none"/>
              </w:rPr>
            </w:r>
            <w:r>
              <w:rPr>
                <w:sz w:val="28"/>
                <w:rFonts w:ascii="Times New Roman" w:hAnsi="Times New Roman" w:cs="Times New Roman" w:eastAsia="Times New Roman"/>
                <w:color w:val="000000"/>
                <w:u w:val="none"/>
              </w:rPr>
              <w:t/>
            </w:r>
            <w:r>
              <w:rPr>
                <w:sz w:val="28"/>
                <w:rFonts w:ascii="Times New Roman" w:hAnsi="Times New Roman" w:cs="Times New Roman" w:eastAsia="Times New Roman"/>
                <w:color w:val="000000"/>
                <w:u w:val="none"/>
                <w:strike w:val="off"/>
              </w:rPr>
              <w:t>Полное наименование муниципального учреждения города Оренбурга (включая ГРБС)</w:t>
            </w:r>
          </w:p>
        </w:tc>
        <w:tc>
          <w:tcPr>
            <w:tcW w:type="dxa" w:w="7140"/>
            <w:gridSpan w:val="6"/>
          </w:tcPr>
          <w:p>
            <w:pPr>
              <w:spacing w:before="0" w:after="0" w:lineRule="auto" w:line="240"/>
              <w:ind w:right="0" w:left="0" w:firstLine="0"/>
              <w:jc w:val="center"/>
            </w:pPr>
            <w:r>
              <w:rPr/>
            </w:r>
            <w:r>
              <w:rPr>
                <w:u w:val="none"/>
                <w:sz w:val="28"/>
                <w:rFonts w:ascii="Times New Roman" w:hAnsi="Times New Roman" w:cs="Times New Roman" w:eastAsia="Times New Roman"/>
                <w:color w:val="000000"/>
                <w:b w:val="off"/>
                <w:i w:val="off"/>
                <w:strike w:val="off"/>
              </w:rPr>
              <w:t/>
            </w:r>
            <w:r>
              <w:rPr/>
            </w:r>
            <w:r>
              <w:rPr>
                <w:u w:val="none"/>
                <w:sz w:val="28"/>
                <w:rFonts w:ascii="Times New Roman" w:hAnsi="Times New Roman" w:cs="Times New Roman" w:eastAsia="Times New Roman"/>
                <w:color w:val="000000"/>
                <w:b w:val="off"/>
                <w:i w:val="off"/>
                <w:strike w:val="off"/>
              </w:rPr>
            </w:r>
            <w:r>
              <w:rPr>
                <w:sz w:val="28"/>
                <w:rFonts w:ascii="Times New Roman" w:hAnsi="Times New Roman" w:cs="Times New Roman" w:eastAsia="Times New Roman"/>
                <w:color w:val="000000"/>
                <w:u w:val="none"/>
              </w:rPr>
            </w:r>
            <w:r>
              <w:rPr>
                <w:sz w:val="28"/>
                <w:rFonts w:ascii="Times New Roman" w:hAnsi="Times New Roman" w:cs="Times New Roman" w:eastAsia="Times New Roman"/>
                <w:color w:val="000000"/>
                <w:u w:val="none"/>
              </w:rPr>
              <w:t/>
            </w:r>
            <w:r>
              <w:rPr>
                <w:sz w:val="28"/>
                <w:rFonts w:ascii="Times New Roman" w:hAnsi="Times New Roman" w:cs="Times New Roman" w:eastAsia="Times New Roman"/>
                <w:color w:val="000000"/>
                <w:u w:val="none"/>
                <w:strike w:val="off"/>
              </w:rPr>
              <w:t>Финансовые условия участия в проектах</w:t>
            </w:r>
          </w:p>
        </w:tc>
        <w:tc>
          <w:tcPr>
            <w:tcW w:type="dxa" w:w="1190"/>
            <w:vMerge w:val="restart"/>
          </w:tcPr>
          <w:p>
            <w:pPr>
              <w:spacing w:before="0" w:after="0" w:lineRule="auto" w:line="240"/>
              <w:ind w:right="0" w:left="0" w:firstLine="0"/>
              <w:jc w:val="center"/>
            </w:pPr>
            <w:r>
              <w:rPr/>
            </w:r>
            <w:r>
              <w:rPr>
                <w:u w:val="none"/>
                <w:sz w:val="28"/>
                <w:rFonts w:ascii="Times New Roman" w:hAnsi="Times New Roman" w:cs="Times New Roman" w:eastAsia="Times New Roman"/>
                <w:color w:val="000000"/>
                <w:b w:val="off"/>
                <w:i w:val="off"/>
                <w:strike w:val="off"/>
              </w:rPr>
              <w:t/>
            </w:r>
            <w:r>
              <w:rPr/>
            </w:r>
            <w:r>
              <w:rPr>
                <w:u w:val="none"/>
                <w:sz w:val="28"/>
                <w:rFonts w:ascii="Times New Roman" w:hAnsi="Times New Roman" w:cs="Times New Roman" w:eastAsia="Times New Roman"/>
                <w:color w:val="000000"/>
                <w:b w:val="off"/>
                <w:i w:val="off"/>
                <w:strike w:val="off"/>
              </w:rPr>
            </w:r>
            <w:r>
              <w:rPr>
                <w:sz w:val="28"/>
                <w:rFonts w:ascii="Times New Roman" w:hAnsi="Times New Roman" w:cs="Times New Roman" w:eastAsia="Times New Roman"/>
                <w:color w:val="000000"/>
                <w:u w:val="none"/>
              </w:rPr>
            </w:r>
            <w:r>
              <w:rPr>
                <w:sz w:val="28"/>
                <w:rFonts w:ascii="Times New Roman" w:hAnsi="Times New Roman" w:cs="Times New Roman" w:eastAsia="Times New Roman"/>
                <w:color w:val="000000"/>
                <w:u w:val="none"/>
              </w:rPr>
              <w:t/>
            </w:r>
            <w:r>
              <w:rPr>
                <w:sz w:val="28"/>
                <w:rFonts w:ascii="Times New Roman" w:hAnsi="Times New Roman" w:cs="Times New Roman" w:eastAsia="Times New Roman"/>
                <w:color w:val="000000"/>
                <w:u w:val="none"/>
                <w:strike w:val="off"/>
              </w:rPr>
              <w:t>Численность работников, получающих заработную плату на карточные счета, человек</w:t>
            </w:r>
          </w:p>
        </w:tc>
      </w:tr>
      <w:tr>
        <w:tc>
          <w:tcPr>
            <w:tcW w:type="dxa" w:w="1190"/>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1190"/>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1190"/>
          </w:tcPr>
          <w:p>
            <w:pPr>
              <w:spacing w:before="0" w:after="0" w:lineRule="auto" w:line="240"/>
              <w:ind w:right="0" w:left="0" w:firstLine="0"/>
              <w:jc w:val="center"/>
            </w:pPr>
            <w:r>
              <w:rPr/>
            </w:r>
            <w:r>
              <w:rPr>
                <w:u w:val="none"/>
                <w:sz w:val="28"/>
                <w:rFonts w:ascii="Times New Roman" w:hAnsi="Times New Roman" w:cs="Times New Roman" w:eastAsia="Times New Roman"/>
                <w:color w:val="000000"/>
                <w:b w:val="off"/>
                <w:i w:val="off"/>
                <w:strike w:val="off"/>
              </w:rPr>
              <w:t/>
            </w:r>
            <w:r>
              <w:rPr/>
            </w:r>
            <w:r>
              <w:rPr>
                <w:u w:val="none"/>
                <w:sz w:val="28"/>
                <w:rFonts w:ascii="Times New Roman" w:hAnsi="Times New Roman" w:cs="Times New Roman" w:eastAsia="Times New Roman"/>
                <w:color w:val="000000"/>
                <w:b w:val="off"/>
                <w:i w:val="off"/>
                <w:strike w:val="off"/>
              </w:rPr>
            </w:r>
            <w:r>
              <w:rPr>
                <w:sz w:val="28"/>
                <w:rFonts w:ascii="Times New Roman" w:hAnsi="Times New Roman" w:cs="Times New Roman" w:eastAsia="Times New Roman"/>
                <w:color w:val="000000"/>
                <w:u w:val="none"/>
              </w:rPr>
            </w:r>
            <w:r>
              <w:rPr>
                <w:sz w:val="28"/>
                <w:rFonts w:ascii="Times New Roman" w:hAnsi="Times New Roman" w:cs="Times New Roman" w:eastAsia="Times New Roman"/>
                <w:color w:val="000000"/>
                <w:u w:val="none"/>
              </w:rPr>
              <w:t/>
            </w:r>
            <w:r>
              <w:rPr>
                <w:sz w:val="28"/>
                <w:rFonts w:ascii="Times New Roman" w:hAnsi="Times New Roman" w:cs="Times New Roman" w:eastAsia="Times New Roman"/>
                <w:color w:val="000000"/>
                <w:u w:val="none"/>
                <w:strike w:val="off"/>
              </w:rPr>
              <w:t>Дата заключения договора с кредитной организацией</w:t>
            </w:r>
          </w:p>
        </w:tc>
        <w:tc>
          <w:tcPr>
            <w:tcW w:type="dxa" w:w="1190"/>
          </w:tcPr>
          <w:p>
            <w:pPr>
              <w:spacing w:before="0" w:after="0" w:lineRule="auto" w:line="240"/>
              <w:ind w:right="0" w:left="0" w:firstLine="0"/>
              <w:jc w:val="center"/>
            </w:pPr>
            <w:r>
              <w:rPr/>
            </w:r>
            <w:r>
              <w:rPr>
                <w:u w:val="none"/>
                <w:sz w:val="28"/>
                <w:rFonts w:ascii="Times New Roman" w:hAnsi="Times New Roman" w:cs="Times New Roman" w:eastAsia="Times New Roman"/>
                <w:color w:val="000000"/>
                <w:b w:val="off"/>
                <w:i w:val="off"/>
                <w:strike w:val="off"/>
              </w:rPr>
              <w:t/>
            </w:r>
            <w:r>
              <w:rPr/>
            </w:r>
            <w:r>
              <w:rPr>
                <w:u w:val="none"/>
                <w:sz w:val="28"/>
                <w:rFonts w:ascii="Times New Roman" w:hAnsi="Times New Roman" w:cs="Times New Roman" w:eastAsia="Times New Roman"/>
                <w:color w:val="000000"/>
                <w:b w:val="off"/>
                <w:i w:val="off"/>
                <w:strike w:val="off"/>
              </w:rPr>
            </w:r>
            <w:r>
              <w:rPr>
                <w:sz w:val="28"/>
                <w:rFonts w:ascii="Times New Roman" w:hAnsi="Times New Roman" w:cs="Times New Roman" w:eastAsia="Times New Roman"/>
                <w:color w:val="000000"/>
                <w:u w:val="none"/>
              </w:rPr>
            </w:r>
            <w:r>
              <w:rPr>
                <w:sz w:val="28"/>
                <w:rFonts w:ascii="Times New Roman" w:hAnsi="Times New Roman" w:cs="Times New Roman" w:eastAsia="Times New Roman"/>
                <w:color w:val="000000"/>
                <w:u w:val="none"/>
              </w:rPr>
              <w:t/>
            </w:r>
            <w:r>
              <w:rPr>
                <w:sz w:val="28"/>
                <w:rFonts w:ascii="Times New Roman" w:hAnsi="Times New Roman" w:cs="Times New Roman" w:eastAsia="Times New Roman"/>
                <w:color w:val="000000"/>
                <w:u w:val="none"/>
                <w:strike w:val="off"/>
              </w:rPr>
              <w:t>Стоимость карты, руб</w:t>
            </w:r>
          </w:p>
        </w:tc>
        <w:tc>
          <w:tcPr>
            <w:tcW w:type="dxa" w:w="1190"/>
          </w:tcPr>
          <w:p>
            <w:pPr>
              <w:spacing w:before="0" w:after="0" w:lineRule="auto" w:line="240"/>
              <w:ind w:right="0" w:left="0" w:firstLine="0"/>
              <w:jc w:val="center"/>
            </w:pPr>
            <w:r>
              <w:rPr/>
            </w:r>
            <w:r>
              <w:rPr>
                <w:u w:val="none"/>
                <w:sz w:val="28"/>
                <w:rFonts w:ascii="Times New Roman" w:hAnsi="Times New Roman" w:cs="Times New Roman" w:eastAsia="Times New Roman"/>
                <w:color w:val="000000"/>
                <w:b w:val="off"/>
                <w:i w:val="off"/>
                <w:strike w:val="off"/>
              </w:rPr>
              <w:t/>
            </w:r>
            <w:r>
              <w:rPr/>
            </w:r>
            <w:r>
              <w:rPr>
                <w:u w:val="none"/>
                <w:sz w:val="28"/>
                <w:rFonts w:ascii="Times New Roman" w:hAnsi="Times New Roman" w:cs="Times New Roman" w:eastAsia="Times New Roman"/>
                <w:color w:val="000000"/>
                <w:b w:val="off"/>
                <w:i w:val="off"/>
                <w:strike w:val="off"/>
              </w:rPr>
            </w:r>
            <w:r>
              <w:rPr>
                <w:sz w:val="28"/>
                <w:rFonts w:ascii="Times New Roman" w:hAnsi="Times New Roman" w:cs="Times New Roman" w:eastAsia="Times New Roman"/>
                <w:color w:val="000000"/>
                <w:u w:val="none"/>
              </w:rPr>
            </w:r>
            <w:r>
              <w:rPr>
                <w:sz w:val="28"/>
                <w:rFonts w:ascii="Times New Roman" w:hAnsi="Times New Roman" w:cs="Times New Roman" w:eastAsia="Times New Roman"/>
                <w:color w:val="000000"/>
                <w:u w:val="none"/>
              </w:rPr>
              <w:t/>
            </w:r>
            <w:r>
              <w:rPr>
                <w:sz w:val="28"/>
                <w:rFonts w:ascii="Times New Roman" w:hAnsi="Times New Roman" w:cs="Times New Roman" w:eastAsia="Times New Roman"/>
                <w:color w:val="000000"/>
                <w:u w:val="none"/>
                <w:strike w:val="off"/>
              </w:rPr>
              <w:t>Тарифы на услуги банка по зачислению сумм на оплату труда, руб</w:t>
            </w:r>
          </w:p>
        </w:tc>
        <w:tc>
          <w:tcPr>
            <w:tcW w:type="dxa" w:w="1190"/>
          </w:tcPr>
          <w:p>
            <w:pPr>
              <w:spacing w:before="0" w:after="0" w:lineRule="auto" w:line="240"/>
              <w:ind w:right="0" w:left="0" w:firstLine="0"/>
              <w:jc w:val="center"/>
            </w:pPr>
            <w:r>
              <w:rPr/>
            </w:r>
            <w:r>
              <w:rPr>
                <w:u w:val="none"/>
                <w:sz w:val="28"/>
                <w:rFonts w:ascii="Times New Roman" w:hAnsi="Times New Roman" w:cs="Times New Roman" w:eastAsia="Times New Roman"/>
                <w:color w:val="000000"/>
                <w:b w:val="off"/>
                <w:i w:val="off"/>
                <w:strike w:val="off"/>
              </w:rPr>
              <w:t/>
            </w:r>
            <w:r>
              <w:rPr/>
            </w:r>
            <w:r>
              <w:rPr>
                <w:u w:val="none"/>
                <w:sz w:val="28"/>
                <w:rFonts w:ascii="Times New Roman" w:hAnsi="Times New Roman" w:cs="Times New Roman" w:eastAsia="Times New Roman"/>
                <w:color w:val="000000"/>
                <w:b w:val="off"/>
                <w:i w:val="off"/>
                <w:strike w:val="off"/>
              </w:rPr>
            </w:r>
            <w:r>
              <w:rPr>
                <w:sz w:val="28"/>
                <w:rFonts w:ascii="Times New Roman" w:hAnsi="Times New Roman" w:cs="Times New Roman" w:eastAsia="Times New Roman"/>
                <w:color w:val="000000"/>
                <w:u w:val="none"/>
              </w:rPr>
            </w:r>
            <w:r>
              <w:rPr>
                <w:sz w:val="28"/>
                <w:rFonts w:ascii="Times New Roman" w:hAnsi="Times New Roman" w:cs="Times New Roman" w:eastAsia="Times New Roman"/>
                <w:color w:val="000000"/>
                <w:u w:val="none"/>
              </w:rPr>
              <w:t/>
            </w:r>
            <w:r>
              <w:rPr>
                <w:sz w:val="28"/>
                <w:rFonts w:ascii="Times New Roman" w:hAnsi="Times New Roman" w:cs="Times New Roman" w:eastAsia="Times New Roman"/>
                <w:color w:val="000000"/>
                <w:u w:val="none"/>
                <w:strike w:val="off"/>
              </w:rPr>
              <w:t>Условия предоставляемого кредита (овердрафта) (% за пользование)</w:t>
            </w:r>
          </w:p>
        </w:tc>
        <w:tc>
          <w:tcPr>
            <w:tcW w:type="dxa" w:w="1190"/>
          </w:tcPr>
          <w:p>
            <w:pPr>
              <w:spacing w:before="0" w:after="0" w:lineRule="auto" w:line="240"/>
              <w:ind w:right="0" w:left="0" w:firstLine="0"/>
              <w:jc w:val="center"/>
            </w:pPr>
            <w:r>
              <w:rPr/>
            </w:r>
            <w:r>
              <w:rPr>
                <w:u w:val="none"/>
                <w:sz w:val="28"/>
                <w:rFonts w:ascii="Times New Roman" w:hAnsi="Times New Roman" w:cs="Times New Roman" w:eastAsia="Times New Roman"/>
                <w:color w:val="000000"/>
                <w:b w:val="off"/>
                <w:i w:val="off"/>
                <w:strike w:val="off"/>
              </w:rPr>
              <w:t/>
            </w:r>
            <w:r>
              <w:rPr/>
            </w:r>
            <w:r>
              <w:rPr>
                <w:u w:val="none"/>
                <w:sz w:val="28"/>
                <w:rFonts w:ascii="Times New Roman" w:hAnsi="Times New Roman" w:cs="Times New Roman" w:eastAsia="Times New Roman"/>
                <w:color w:val="000000"/>
                <w:b w:val="off"/>
                <w:i w:val="off"/>
                <w:strike w:val="off"/>
              </w:rPr>
            </w:r>
            <w:r>
              <w:rPr>
                <w:sz w:val="28"/>
                <w:rFonts w:ascii="Times New Roman" w:hAnsi="Times New Roman" w:cs="Times New Roman" w:eastAsia="Times New Roman"/>
                <w:color w:val="000000"/>
                <w:u w:val="none"/>
              </w:rPr>
            </w:r>
            <w:r>
              <w:rPr>
                <w:sz w:val="28"/>
                <w:rFonts w:ascii="Times New Roman" w:hAnsi="Times New Roman" w:cs="Times New Roman" w:eastAsia="Times New Roman"/>
                <w:color w:val="000000"/>
                <w:u w:val="none"/>
              </w:rPr>
              <w:t/>
            </w:r>
            <w:r>
              <w:rPr>
                <w:sz w:val="28"/>
                <w:rFonts w:ascii="Times New Roman" w:hAnsi="Times New Roman" w:cs="Times New Roman" w:eastAsia="Times New Roman"/>
                <w:color w:val="000000"/>
                <w:u w:val="none"/>
                <w:strike w:val="off"/>
              </w:rPr>
              <w:t>Условия начисления процентов на остаток средств</w:t>
            </w:r>
          </w:p>
        </w:tc>
        <w:tc>
          <w:tcPr>
            <w:tcW w:type="dxa" w:w="1190"/>
          </w:tcPr>
          <w:p>
            <w:pPr>
              <w:spacing w:before="0" w:after="0" w:lineRule="auto" w:line="240"/>
              <w:ind w:right="0" w:left="0" w:firstLine="0"/>
              <w:jc w:val="center"/>
            </w:pPr>
            <w:r>
              <w:rPr/>
            </w:r>
            <w:r>
              <w:rPr>
                <w:u w:val="none"/>
                <w:sz w:val="28"/>
                <w:rFonts w:ascii="Times New Roman" w:hAnsi="Times New Roman" w:cs="Times New Roman" w:eastAsia="Times New Roman"/>
                <w:color w:val="000000"/>
                <w:b w:val="off"/>
                <w:i w:val="off"/>
                <w:strike w:val="off"/>
              </w:rPr>
              <w:t/>
            </w:r>
            <w:r>
              <w:rPr/>
            </w:r>
            <w:r>
              <w:rPr>
                <w:u w:val="none"/>
                <w:sz w:val="28"/>
                <w:rFonts w:ascii="Times New Roman" w:hAnsi="Times New Roman" w:cs="Times New Roman" w:eastAsia="Times New Roman"/>
                <w:color w:val="000000"/>
                <w:b w:val="off"/>
                <w:i w:val="off"/>
                <w:strike w:val="off"/>
              </w:rPr>
            </w:r>
            <w:r>
              <w:rPr>
                <w:sz w:val="28"/>
                <w:rFonts w:ascii="Times New Roman" w:hAnsi="Times New Roman" w:cs="Times New Roman" w:eastAsia="Times New Roman"/>
                <w:color w:val="000000"/>
                <w:u w:val="none"/>
              </w:rPr>
            </w:r>
            <w:r>
              <w:rPr>
                <w:sz w:val="28"/>
                <w:rFonts w:ascii="Times New Roman" w:hAnsi="Times New Roman" w:cs="Times New Roman" w:eastAsia="Times New Roman"/>
                <w:color w:val="000000"/>
                <w:u w:val="none"/>
              </w:rPr>
              <w:t/>
            </w:r>
            <w:r>
              <w:rPr>
                <w:sz w:val="28"/>
                <w:rFonts w:ascii="Times New Roman" w:hAnsi="Times New Roman" w:cs="Times New Roman" w:eastAsia="Times New Roman"/>
                <w:color w:val="000000"/>
                <w:u w:val="none"/>
                <w:strike w:val="off"/>
              </w:rPr>
              <w:t>Наименование платежной системы</w:t>
            </w:r>
          </w:p>
        </w:tc>
        <w:tc>
          <w:tcPr>
            <w:tcW w:type="dxa" w:w="1190"/>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r>
      <w:tr>
        <w:tc>
          <w:tcPr>
            <w:tcW w:type="dxa" w:w="1190"/>
          </w:tcPr>
          <w:p>
            <w:pPr>
              <w:spacing w:before="0" w:after="0" w:lineRule="auto" w:line="240"/>
              <w:ind w:right="0" w:left="0" w:firstLine="0"/>
              <w:jc w:val="left"/>
            </w:pPr>
            <w:r>
              <w:rPr/>
            </w:r>
            <w:r>
              <w:rPr>
                <w:u w:val="none"/>
                <w:sz w:val="28"/>
                <w:rFonts w:ascii="Times New Roman" w:hAnsi="Times New Roman" w:cs="Times New Roman" w:eastAsia="Times New Roman"/>
                <w:color w:val="000000"/>
                <w:b w:val="off"/>
                <w:i w:val="off"/>
                <w:strike w:val="off"/>
              </w:rPr>
              <w:t/>
            </w:r>
            <w:r>
              <w:rPr/>
            </w:r>
            <w:r>
              <w:rPr>
                <w:u w:val="none"/>
                <w:sz w:val="28"/>
                <w:rFonts w:ascii="Times New Roman" w:hAnsi="Times New Roman" w:cs="Times New Roman" w:eastAsia="Times New Roman"/>
                <w:color w:val="000000"/>
                <w:b w:val="off"/>
                <w:i w:val="off"/>
                <w:strike w:val="off"/>
              </w:rPr>
            </w:r>
            <w:r>
              <w:rPr>
                <w:sz w:val="28"/>
                <w:rFonts w:ascii="Times New Roman" w:hAnsi="Times New Roman" w:cs="Times New Roman" w:eastAsia="Times New Roman"/>
                <w:color w:val="000000"/>
                <w:u w:val="none"/>
              </w:rPr>
            </w:r>
            <w:r>
              <w:rPr>
                <w:sz w:val="28"/>
                <w:rFonts w:ascii="Times New Roman" w:hAnsi="Times New Roman" w:cs="Times New Roman" w:eastAsia="Times New Roman"/>
                <w:color w:val="000000"/>
                <w:u w:val="none"/>
              </w:rPr>
              <w:t/>
            </w:r>
            <w:r>
              <w:rPr>
                <w:sz w:val="28"/>
                <w:rFonts w:ascii="Times New Roman" w:hAnsi="Times New Roman" w:cs="Times New Roman" w:eastAsia="Times New Roman"/>
                <w:color w:val="000000"/>
                <w:u w:val="none"/>
                <w:strike w:val="off"/>
              </w:rPr>
              <w:t>Оренбургское отделение №8623 ПАО СБЕРБАНК г. Оренбург</w:t>
            </w:r>
          </w:p>
        </w:tc>
        <w:tc>
          <w:tcPr>
            <w:tcW w:type="dxa" w:w="1190"/>
            <w:vMerge w:val="restart"/>
          </w:tcPr>
          <w:p>
            <w:pPr>
              <w:spacing w:before="0" w:after="0" w:lineRule="auto" w:line="240"/>
              <w:ind w:right="0" w:left="0" w:firstLine="0"/>
              <w:jc w:val="center"/>
            </w:pPr>
            <w:r>
              <w:rPr/>
            </w:r>
            <w:r>
              <w:rPr>
                <w:u w:val="none"/>
                <w:sz w:val="28"/>
                <w:rFonts w:ascii="Times New Roman" w:hAnsi="Times New Roman" w:cs="Times New Roman" w:eastAsia="Times New Roman"/>
                <w:color w:val="000000"/>
                <w:b w:val="off"/>
                <w:i w:val="off"/>
                <w:strike w:val="off"/>
              </w:rPr>
              <w:t/>
            </w:r>
            <w:r>
              <w:rPr/>
            </w:r>
            <w:r>
              <w:rPr>
                <w:u w:val="none"/>
                <w:sz w:val="28"/>
                <w:rFonts w:ascii="Times New Roman" w:hAnsi="Times New Roman" w:cs="Times New Roman" w:eastAsia="Times New Roman"/>
                <w:color w:val="000000"/>
                <w:b w:val="off"/>
                <w:i w:val="off"/>
                <w:strike w:val="off"/>
              </w:rPr>
            </w:r>
            <w:r>
              <w:rPr>
                <w:sz w:val="28"/>
                <w:rFonts w:ascii="Times New Roman" w:hAnsi="Times New Roman" w:cs="Times New Roman" w:eastAsia="Times New Roman"/>
                <w:color w:val="000000"/>
                <w:u w:val="none"/>
              </w:rPr>
            </w:r>
            <w:r>
              <w:rPr>
                <w:sz w:val="28"/>
                <w:rFonts w:ascii="Times New Roman" w:hAnsi="Times New Roman" w:cs="Times New Roman" w:eastAsia="Times New Roman"/>
                <w:color w:val="000000"/>
                <w:u w:val="none"/>
              </w:rPr>
              <w:t/>
            </w:r>
            <w:r>
              <w:rPr>
                <w:sz w:val="28"/>
                <w:rFonts w:ascii="Times New Roman" w:hAnsi="Times New Roman" w:cs="Times New Roman" w:eastAsia="Times New Roman"/>
                <w:color w:val="000000"/>
                <w:u w:val="none"/>
                <w:strike w:val="off"/>
              </w:rPr>
              <w:t>Комитет потребительского рынка, услуг и развития предпринимательства администрации города Оренбурга</w:t>
            </w:r>
          </w:p>
        </w:tc>
        <w:tc>
          <w:tcPr>
            <w:tcW w:type="dxa" w:w="1190"/>
          </w:tcPr>
          <w:p>
            <w:pPr>
              <w:spacing w:before="0" w:after="0" w:lineRule="auto" w:line="240"/>
              <w:ind w:right="0" w:left="0" w:firstLine="0"/>
              <w:jc w:val="center"/>
            </w:pPr>
            <w:r>
              <w:rPr/>
            </w:r>
            <w:r>
              <w:rPr>
                <w:u w:val="none"/>
                <w:sz w:val="28"/>
                <w:rFonts w:ascii="Times New Roman" w:hAnsi="Times New Roman" w:cs="Times New Roman" w:eastAsia="Times New Roman"/>
                <w:color w:val="000000"/>
                <w:b w:val="off"/>
                <w:i w:val="off"/>
                <w:strike w:val="off"/>
              </w:rPr>
              <w:t/>
            </w:r>
            <w:r>
              <w:rPr/>
            </w:r>
            <w:r>
              <w:rPr>
                <w:u w:val="none"/>
                <w:sz w:val="28"/>
                <w:rFonts w:ascii="Times New Roman" w:hAnsi="Times New Roman" w:cs="Times New Roman" w:eastAsia="Times New Roman"/>
                <w:color w:val="000000"/>
                <w:b w:val="off"/>
                <w:i w:val="off"/>
                <w:strike w:val="off"/>
              </w:rPr>
            </w:r>
            <w:r>
              <w:rPr>
                <w:sz w:val="28"/>
                <w:rFonts w:ascii="Times New Roman" w:hAnsi="Times New Roman" w:cs="Times New Roman" w:eastAsia="Times New Roman"/>
                <w:color w:val="000000"/>
                <w:u w:val="none"/>
              </w:rPr>
            </w:r>
            <w:r>
              <w:rPr>
                <w:sz w:val="28"/>
                <w:rFonts w:ascii="Times New Roman" w:hAnsi="Times New Roman" w:cs="Times New Roman" w:eastAsia="Times New Roman"/>
                <w:color w:val="000000"/>
                <w:u w:val="none"/>
              </w:rPr>
              <w:t/>
            </w:r>
            <w:r>
              <w:rPr>
                <w:sz w:val="28"/>
                <w:rFonts w:ascii="Times New Roman" w:hAnsi="Times New Roman" w:cs="Times New Roman" w:eastAsia="Times New Roman"/>
                <w:color w:val="000000"/>
                <w:u w:val="none"/>
                <w:strike w:val="off"/>
              </w:rPr>
              <w:t>27.01.2022</w:t>
            </w:r>
          </w:p>
        </w:tc>
        <w:tc>
          <w:tcPr>
            <w:tcW w:type="dxa" w:w="1190"/>
          </w:tcPr>
          <w:p>
            <w:pPr>
              <w:spacing w:before="0" w:after="0" w:lineRule="auto" w:line="240"/>
              <w:ind w:right="0" w:left="0" w:firstLine="0"/>
              <w:jc w:val="center"/>
            </w:pPr>
            <w:r>
              <w:rPr/>
            </w:r>
            <w:r>
              <w:rPr>
                <w:u w:val="none"/>
                <w:sz w:val="28"/>
                <w:rFonts w:ascii="Times New Roman" w:hAnsi="Times New Roman" w:cs="Times New Roman" w:eastAsia="Times New Roman"/>
                <w:color w:val="000000"/>
                <w:b w:val="off"/>
                <w:i w:val="off"/>
                <w:strike w:val="off"/>
              </w:rPr>
              <w:t/>
            </w:r>
            <w:r>
              <w:rPr/>
            </w:r>
            <w:r>
              <w:rPr>
                <w:u w:val="none"/>
                <w:sz w:val="28"/>
                <w:rFonts w:ascii="Times New Roman" w:hAnsi="Times New Roman" w:cs="Times New Roman" w:eastAsia="Times New Roman"/>
                <w:color w:val="000000"/>
                <w:b w:val="off"/>
                <w:i w:val="off"/>
                <w:strike w:val="off"/>
              </w:rPr>
            </w:r>
            <w:r>
              <w:rPr>
                <w:sz w:val="28"/>
                <w:rFonts w:ascii="Times New Roman" w:hAnsi="Times New Roman" w:cs="Times New Roman" w:eastAsia="Times New Roman"/>
                <w:color w:val="000000"/>
                <w:u w:val="none"/>
              </w:rPr>
            </w:r>
            <w:r>
              <w:rPr>
                <w:sz w:val="28"/>
                <w:rFonts w:ascii="Times New Roman" w:hAnsi="Times New Roman" w:cs="Times New Roman" w:eastAsia="Times New Roman"/>
                <w:color w:val="000000"/>
                <w:u w:val="none"/>
              </w:rPr>
              <w:t/>
            </w:r>
            <w:r>
              <w:rPr>
                <w:sz w:val="28"/>
                <w:rFonts w:ascii="Times New Roman" w:hAnsi="Times New Roman" w:cs="Times New Roman" w:eastAsia="Times New Roman"/>
                <w:color w:val="000000"/>
                <w:u w:val="none"/>
                <w:strike w:val="off"/>
              </w:rPr>
              <w:t>бесплатно</w:t>
            </w:r>
          </w:p>
        </w:tc>
        <w:tc>
          <w:tcPr>
            <w:tcW w:type="dxa" w:w="1190"/>
          </w:tcPr>
          <w:p>
            <w:pPr>
              <w:spacing w:before="0" w:after="0" w:lineRule="auto" w:line="240"/>
              <w:ind w:right="0" w:left="0" w:firstLine="0"/>
              <w:jc w:val="center"/>
            </w:pPr>
            <w:r>
              <w:rPr/>
            </w:r>
            <w:r>
              <w:rPr>
                <w:u w:val="none"/>
                <w:sz w:val="28"/>
                <w:rFonts w:ascii="Times New Roman" w:hAnsi="Times New Roman" w:cs="Times New Roman" w:eastAsia="Times New Roman"/>
                <w:color w:val="000000"/>
                <w:b w:val="off"/>
                <w:i w:val="off"/>
                <w:strike w:val="off"/>
              </w:rPr>
              <w:t/>
            </w:r>
            <w:r>
              <w:rPr/>
            </w:r>
            <w:r>
              <w:rPr>
                <w:u w:val="none"/>
                <w:sz w:val="28"/>
                <w:rFonts w:ascii="Times New Roman" w:hAnsi="Times New Roman" w:cs="Times New Roman" w:eastAsia="Times New Roman"/>
                <w:color w:val="000000"/>
                <w:b w:val="off"/>
                <w:i w:val="off"/>
                <w:strike w:val="off"/>
              </w:rPr>
            </w:r>
            <w:r>
              <w:rPr>
                <w:sz w:val="28"/>
                <w:rFonts w:ascii="Times New Roman" w:hAnsi="Times New Roman" w:cs="Times New Roman" w:eastAsia="Times New Roman"/>
                <w:color w:val="000000"/>
                <w:u w:val="none"/>
              </w:rPr>
            </w:r>
            <w:r>
              <w:rPr>
                <w:sz w:val="28"/>
                <w:rFonts w:ascii="Times New Roman" w:hAnsi="Times New Roman" w:cs="Times New Roman" w:eastAsia="Times New Roman"/>
                <w:color w:val="000000"/>
                <w:u w:val="none"/>
              </w:rPr>
              <w:t/>
            </w:r>
            <w:r>
              <w:rPr>
                <w:sz w:val="28"/>
                <w:rFonts w:ascii="Times New Roman" w:hAnsi="Times New Roman" w:cs="Times New Roman" w:eastAsia="Times New Roman"/>
                <w:color w:val="000000"/>
                <w:u w:val="none"/>
                <w:strike w:val="off"/>
              </w:rPr>
              <w:t>бесплатно</w:t>
            </w:r>
          </w:p>
        </w:tc>
        <w:tc>
          <w:tcPr>
            <w:tcW w:type="dxa" w:w="1190"/>
          </w:tcPr>
          <w:p>
            <w:pPr>
              <w:spacing w:before="0" w:after="0" w:lineRule="auto" w:line="240"/>
              <w:ind w:right="0" w:left="0" w:firstLine="0"/>
              <w:jc w:val="center"/>
            </w:pPr>
            <w:r>
              <w:rPr/>
            </w:r>
            <w:r>
              <w:rPr>
                <w:u w:val="none"/>
                <w:sz w:val="28"/>
                <w:rFonts w:ascii="Times New Roman" w:hAnsi="Times New Roman" w:cs="Times New Roman" w:eastAsia="Times New Roman"/>
                <w:color w:val="000000"/>
                <w:b w:val="off"/>
                <w:i w:val="off"/>
                <w:strike w:val="off"/>
              </w:rPr>
              <w:t/>
            </w:r>
            <w:r>
              <w:rPr/>
            </w:r>
            <w:r>
              <w:rPr>
                <w:u w:val="none"/>
                <w:sz w:val="28"/>
                <w:rFonts w:ascii="Times New Roman" w:hAnsi="Times New Roman" w:cs="Times New Roman" w:eastAsia="Times New Roman"/>
                <w:color w:val="000000"/>
                <w:b w:val="off"/>
                <w:i w:val="off"/>
                <w:strike w:val="off"/>
              </w:rPr>
            </w:r>
            <w:r>
              <w:rPr>
                <w:sz w:val="28"/>
                <w:rFonts w:ascii="Times New Roman" w:hAnsi="Times New Roman" w:cs="Times New Roman" w:eastAsia="Times New Roman"/>
                <w:color w:val="000000"/>
                <w:u w:val="none"/>
              </w:rPr>
            </w:r>
            <w:r>
              <w:rPr>
                <w:sz w:val="28"/>
                <w:rFonts w:ascii="Times New Roman" w:hAnsi="Times New Roman" w:cs="Times New Roman" w:eastAsia="Times New Roman"/>
                <w:color w:val="000000"/>
                <w:u w:val="none"/>
              </w:rPr>
              <w:t/>
            </w:r>
            <w:r>
              <w:rPr>
                <w:sz w:val="28"/>
                <w:rFonts w:ascii="Times New Roman" w:hAnsi="Times New Roman" w:cs="Times New Roman" w:eastAsia="Times New Roman"/>
                <w:color w:val="000000"/>
                <w:u w:val="none"/>
                <w:strike w:val="off"/>
              </w:rPr>
              <w:t>не пользуются</w:t>
            </w:r>
          </w:p>
        </w:tc>
        <w:tc>
          <w:tcPr>
            <w:tcW w:type="dxa" w:w="1190"/>
          </w:tcPr>
          <w:p>
            <w:pPr>
              <w:spacing w:before="0" w:after="0" w:lineRule="auto" w:line="240"/>
              <w:ind w:right="0" w:left="0" w:firstLine="0"/>
              <w:jc w:val="center"/>
            </w:pPr>
            <w:r>
              <w:rPr/>
            </w:r>
            <w:r>
              <w:rPr>
                <w:u w:val="none"/>
                <w:sz w:val="28"/>
                <w:rFonts w:ascii="Times New Roman" w:hAnsi="Times New Roman" w:cs="Times New Roman" w:eastAsia="Times New Roman"/>
                <w:color w:val="000000"/>
                <w:b w:val="off"/>
                <w:i w:val="off"/>
                <w:strike w:val="off"/>
              </w:rPr>
              <w:t/>
            </w:r>
            <w:r>
              <w:rPr/>
            </w:r>
            <w:r>
              <w:rPr>
                <w:u w:val="none"/>
                <w:sz w:val="28"/>
                <w:rFonts w:ascii="Times New Roman" w:hAnsi="Times New Roman" w:cs="Times New Roman" w:eastAsia="Times New Roman"/>
                <w:color w:val="000000"/>
                <w:b w:val="off"/>
                <w:i w:val="off"/>
                <w:strike w:val="off"/>
              </w:rPr>
            </w:r>
            <w:r>
              <w:rPr>
                <w:sz w:val="28"/>
                <w:rFonts w:ascii="Times New Roman" w:hAnsi="Times New Roman" w:cs="Times New Roman" w:eastAsia="Times New Roman"/>
                <w:color w:val="000000"/>
                <w:u w:val="none"/>
              </w:rPr>
            </w:r>
            <w:r>
              <w:rPr>
                <w:sz w:val="28"/>
                <w:rFonts w:ascii="Times New Roman" w:hAnsi="Times New Roman" w:cs="Times New Roman" w:eastAsia="Times New Roman"/>
                <w:color w:val="000000"/>
                <w:u w:val="none"/>
              </w:rPr>
              <w:t/>
            </w:r>
            <w:r>
              <w:rPr>
                <w:sz w:val="28"/>
                <w:rFonts w:ascii="Times New Roman" w:hAnsi="Times New Roman" w:cs="Times New Roman" w:eastAsia="Times New Roman"/>
                <w:color w:val="000000"/>
                <w:u w:val="none"/>
                <w:strike w:val="off"/>
              </w:rPr>
              <w:t>0</w:t>
            </w:r>
          </w:p>
        </w:tc>
        <w:tc>
          <w:tcPr>
            <w:tcW w:type="dxa" w:w="1190"/>
          </w:tcPr>
          <w:p>
            <w:pPr>
              <w:spacing w:before="0" w:after="0" w:lineRule="auto" w:line="240"/>
              <w:ind w:right="0" w:left="0" w:firstLine="0"/>
              <w:jc w:val="center"/>
            </w:pPr>
            <w:r>
              <w:rPr/>
            </w:r>
            <w:r>
              <w:rPr>
                <w:u w:val="none"/>
                <w:sz w:val="28"/>
                <w:rFonts w:ascii="Times New Roman" w:hAnsi="Times New Roman" w:cs="Times New Roman" w:eastAsia="Times New Roman"/>
                <w:color w:val="000000"/>
                <w:b w:val="off"/>
                <w:i w:val="off"/>
                <w:strike w:val="off"/>
              </w:rPr>
              <w:t/>
            </w:r>
            <w:r>
              <w:rPr/>
            </w:r>
            <w:r>
              <w:rPr>
                <w:u w:val="none"/>
                <w:sz w:val="28"/>
                <w:rFonts w:ascii="Times New Roman" w:hAnsi="Times New Roman" w:cs="Times New Roman" w:eastAsia="Times New Roman"/>
                <w:color w:val="000000"/>
                <w:b w:val="off"/>
                <w:i w:val="off"/>
                <w:strike w:val="off"/>
              </w:rPr>
            </w:r>
            <w:r>
              <w:rPr>
                <w:sz w:val="28"/>
                <w:rFonts w:ascii="Times New Roman" w:hAnsi="Times New Roman" w:cs="Times New Roman" w:eastAsia="Times New Roman"/>
                <w:color w:val="000000"/>
                <w:u w:val="none"/>
              </w:rPr>
            </w:r>
            <w:r>
              <w:rPr>
                <w:sz w:val="28"/>
                <w:rFonts w:ascii="Times New Roman" w:hAnsi="Times New Roman" w:cs="Times New Roman" w:eastAsia="Times New Roman"/>
                <w:color w:val="000000"/>
                <w:u w:val="none"/>
              </w:rPr>
              <w:t/>
            </w:r>
            <w:r>
              <w:rPr>
                <w:sz w:val="28"/>
                <w:rFonts w:ascii="Times New Roman" w:hAnsi="Times New Roman" w:cs="Times New Roman" w:eastAsia="Times New Roman"/>
                <w:color w:val="000000"/>
                <w:u w:val="none"/>
                <w:strike w:val="off"/>
              </w:rPr>
              <w:t>МИР</w:t>
            </w:r>
          </w:p>
        </w:tc>
        <w:tc>
          <w:tcPr>
            <w:tcW w:type="dxa" w:w="1190"/>
          </w:tcPr>
          <w:p>
            <w:pPr>
              <w:spacing w:before="0" w:after="0" w:lineRule="auto" w:line="240"/>
              <w:ind w:right="0" w:left="0" w:firstLine="0"/>
              <w:jc w:val="center"/>
            </w:pPr>
            <w:r>
              <w:rPr/>
            </w:r>
            <w:r>
              <w:rPr>
                <w:u w:val="none"/>
                <w:sz w:val="28"/>
                <w:rFonts w:ascii="Times New Roman" w:hAnsi="Times New Roman" w:cs="Times New Roman" w:eastAsia="Times New Roman"/>
                <w:color w:val="000000"/>
                <w:b w:val="off"/>
                <w:i w:val="off"/>
                <w:strike w:val="off"/>
              </w:rPr>
              <w:t/>
            </w:r>
            <w:r>
              <w:rPr/>
            </w:r>
            <w:r>
              <w:rPr>
                <w:u w:val="none"/>
                <w:sz w:val="28"/>
                <w:rFonts w:ascii="Times New Roman" w:hAnsi="Times New Roman" w:cs="Times New Roman" w:eastAsia="Times New Roman"/>
                <w:color w:val="000000"/>
                <w:b w:val="off"/>
                <w:i w:val="off"/>
                <w:strike w:val="off"/>
              </w:rPr>
            </w:r>
            <w:r>
              <w:rPr>
                <w:sz w:val="28"/>
                <w:rFonts w:ascii="Times New Roman" w:hAnsi="Times New Roman" w:cs="Times New Roman" w:eastAsia="Times New Roman"/>
                <w:color w:val="000000"/>
                <w:u w:val="none"/>
              </w:rPr>
            </w:r>
            <w:r>
              <w:rPr>
                <w:sz w:val="28"/>
                <w:rFonts w:ascii="Times New Roman" w:hAnsi="Times New Roman" w:cs="Times New Roman" w:eastAsia="Times New Roman"/>
                <w:color w:val="000000"/>
                <w:u w:val="none"/>
              </w:rPr>
              <w:t/>
            </w:r>
            <w:r>
              <w:rPr>
                <w:sz w:val="28"/>
                <w:rFonts w:ascii="Times New Roman" w:hAnsi="Times New Roman" w:cs="Times New Roman" w:eastAsia="Times New Roman"/>
                <w:color w:val="000000"/>
                <w:u w:val="none"/>
                <w:strike w:val="off"/>
              </w:rPr>
              <w:t>15</w:t>
            </w:r>
          </w:p>
        </w:tc>
      </w:tr>
      <w:tr>
        <w:tc>
          <w:tcPr>
            <w:tcW w:type="dxa" w:w="1190"/>
          </w:tcPr>
          <w:p>
            <w:pPr>
              <w:spacing w:before="0" w:after="0" w:lineRule="auto" w:line="240"/>
              <w:ind w:right="0" w:left="0" w:firstLine="0"/>
              <w:jc w:val="left"/>
            </w:pPr>
            <w:r>
              <w:rPr/>
            </w:r>
            <w:r>
              <w:rPr>
                <w:u w:val="none"/>
                <w:sz w:val="28"/>
                <w:rFonts w:ascii="Times New Roman" w:hAnsi="Times New Roman" w:cs="Times New Roman" w:eastAsia="Times New Roman"/>
                <w:color w:val="000000"/>
                <w:b w:val="off"/>
                <w:i w:val="off"/>
                <w:strike w:val="off"/>
              </w:rPr>
              <w:t/>
            </w:r>
            <w:r>
              <w:rPr/>
            </w:r>
            <w:r>
              <w:rPr>
                <w:u w:val="none"/>
                <w:sz w:val="28"/>
                <w:rFonts w:ascii="Times New Roman" w:hAnsi="Times New Roman" w:cs="Times New Roman" w:eastAsia="Times New Roman"/>
                <w:color w:val="000000"/>
                <w:b w:val="off"/>
                <w:i w:val="off"/>
                <w:strike w:val="off"/>
              </w:rPr>
            </w:r>
            <w:r>
              <w:rPr>
                <w:sz w:val="28"/>
                <w:rFonts w:ascii="Times New Roman" w:hAnsi="Times New Roman" w:cs="Times New Roman" w:eastAsia="Times New Roman"/>
                <w:color w:val="000000"/>
                <w:u w:val="none"/>
              </w:rPr>
            </w:r>
            <w:r>
              <w:rPr>
                <w:sz w:val="28"/>
                <w:rFonts w:ascii="Times New Roman" w:hAnsi="Times New Roman" w:cs="Times New Roman" w:eastAsia="Times New Roman"/>
                <w:color w:val="000000"/>
                <w:u w:val="none"/>
              </w:rPr>
              <w:t/>
            </w:r>
            <w:r>
              <w:rPr>
                <w:sz w:val="28"/>
                <w:rFonts w:ascii="Times New Roman" w:hAnsi="Times New Roman" w:cs="Times New Roman" w:eastAsia="Times New Roman"/>
                <w:color w:val="000000"/>
                <w:u w:val="none"/>
                <w:strike w:val="off"/>
              </w:rPr>
              <w:t>АО "АЛЬФА-БАНК"</w:t>
            </w:r>
          </w:p>
        </w:tc>
        <w:tc>
          <w:tcPr>
            <w:tcW w:type="dxa" w:w="1190"/>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1190"/>
          </w:tcPr>
          <w:p>
            <w:pPr>
              <w:spacing w:before="0" w:after="0" w:lineRule="auto" w:line="240"/>
              <w:ind w:right="0" w:left="0" w:firstLine="0"/>
              <w:jc w:val="center"/>
            </w:pPr>
            <w:r>
              <w:rPr/>
            </w:r>
            <w:r>
              <w:rPr>
                <w:u w:val="none"/>
                <w:sz w:val="28"/>
                <w:rFonts w:ascii="Times New Roman" w:hAnsi="Times New Roman" w:cs="Times New Roman" w:eastAsia="Times New Roman"/>
                <w:color w:val="000000"/>
                <w:b w:val="off"/>
                <w:i w:val="off"/>
                <w:strike w:val="off"/>
              </w:rPr>
              <w:t/>
            </w:r>
            <w:r>
              <w:rPr/>
            </w:r>
            <w:r>
              <w:rPr>
                <w:u w:val="none"/>
                <w:sz w:val="28"/>
                <w:rFonts w:ascii="Times New Roman" w:hAnsi="Times New Roman" w:cs="Times New Roman" w:eastAsia="Times New Roman"/>
                <w:color w:val="000000"/>
                <w:b w:val="off"/>
                <w:i w:val="off"/>
                <w:strike w:val="off"/>
              </w:rPr>
            </w:r>
            <w:r>
              <w:rPr>
                <w:sz w:val="28"/>
                <w:rFonts w:ascii="Times New Roman" w:hAnsi="Times New Roman" w:cs="Times New Roman" w:eastAsia="Times New Roman"/>
                <w:color w:val="000000"/>
                <w:u w:val="none"/>
              </w:rPr>
            </w:r>
            <w:r>
              <w:rPr>
                <w:sz w:val="28"/>
                <w:rFonts w:ascii="Times New Roman" w:hAnsi="Times New Roman" w:cs="Times New Roman" w:eastAsia="Times New Roman"/>
                <w:color w:val="000000"/>
                <w:u w:val="none"/>
              </w:rPr>
              <w:t/>
            </w:r>
            <w:r>
              <w:rPr>
                <w:sz w:val="28"/>
                <w:rFonts w:ascii="Times New Roman" w:hAnsi="Times New Roman" w:cs="Times New Roman" w:eastAsia="Times New Roman"/>
                <w:color w:val="000000"/>
                <w:u w:val="none"/>
                <w:strike w:val="off"/>
              </w:rPr>
              <w:t>04.07.2022</w:t>
            </w:r>
          </w:p>
        </w:tc>
        <w:tc>
          <w:tcPr>
            <w:tcW w:type="dxa" w:w="1190"/>
          </w:tcPr>
          <w:p>
            <w:pPr>
              <w:spacing w:before="0" w:after="0" w:lineRule="auto" w:line="240"/>
              <w:ind w:right="0" w:left="0" w:firstLine="0"/>
              <w:jc w:val="center"/>
            </w:pPr>
            <w:r>
              <w:rPr/>
            </w:r>
            <w:r>
              <w:rPr>
                <w:u w:val="none"/>
                <w:sz w:val="28"/>
                <w:rFonts w:ascii="Times New Roman" w:hAnsi="Times New Roman" w:cs="Times New Roman" w:eastAsia="Times New Roman"/>
                <w:color w:val="000000"/>
                <w:b w:val="off"/>
                <w:i w:val="off"/>
                <w:strike w:val="off"/>
              </w:rPr>
              <w:t/>
            </w:r>
            <w:r>
              <w:rPr/>
            </w:r>
            <w:r>
              <w:rPr>
                <w:u w:val="none"/>
                <w:sz w:val="28"/>
                <w:rFonts w:ascii="Times New Roman" w:hAnsi="Times New Roman" w:cs="Times New Roman" w:eastAsia="Times New Roman"/>
                <w:color w:val="000000"/>
                <w:b w:val="off"/>
                <w:i w:val="off"/>
                <w:strike w:val="off"/>
              </w:rPr>
            </w:r>
            <w:r>
              <w:rPr>
                <w:sz w:val="28"/>
                <w:rFonts w:ascii="Times New Roman" w:hAnsi="Times New Roman" w:cs="Times New Roman" w:eastAsia="Times New Roman"/>
                <w:color w:val="000000"/>
                <w:u w:val="none"/>
              </w:rPr>
            </w:r>
            <w:r>
              <w:rPr>
                <w:sz w:val="28"/>
                <w:rFonts w:ascii="Times New Roman" w:hAnsi="Times New Roman" w:cs="Times New Roman" w:eastAsia="Times New Roman"/>
                <w:color w:val="000000"/>
                <w:u w:val="none"/>
              </w:rPr>
              <w:t/>
            </w:r>
            <w:r>
              <w:rPr>
                <w:sz w:val="28"/>
                <w:rFonts w:ascii="Times New Roman" w:hAnsi="Times New Roman" w:cs="Times New Roman" w:eastAsia="Times New Roman"/>
                <w:color w:val="000000"/>
                <w:u w:val="none"/>
                <w:strike w:val="off"/>
              </w:rPr>
              <w:t>бесплатно</w:t>
            </w:r>
          </w:p>
        </w:tc>
        <w:tc>
          <w:tcPr>
            <w:tcW w:type="dxa" w:w="1190"/>
          </w:tcPr>
          <w:p>
            <w:pPr>
              <w:spacing w:before="0" w:after="0" w:lineRule="auto" w:line="240"/>
              <w:ind w:right="0" w:left="0" w:firstLine="0"/>
              <w:jc w:val="center"/>
            </w:pPr>
            <w:r>
              <w:rPr/>
            </w:r>
            <w:r>
              <w:rPr>
                <w:u w:val="none"/>
                <w:sz w:val="28"/>
                <w:rFonts w:ascii="Times New Roman" w:hAnsi="Times New Roman" w:cs="Times New Roman" w:eastAsia="Times New Roman"/>
                <w:color w:val="000000"/>
                <w:b w:val="off"/>
                <w:i w:val="off"/>
                <w:strike w:val="off"/>
              </w:rPr>
              <w:t/>
            </w:r>
            <w:r>
              <w:rPr/>
            </w:r>
            <w:r>
              <w:rPr>
                <w:u w:val="none"/>
                <w:sz w:val="28"/>
                <w:rFonts w:ascii="Times New Roman" w:hAnsi="Times New Roman" w:cs="Times New Roman" w:eastAsia="Times New Roman"/>
                <w:color w:val="000000"/>
                <w:b w:val="off"/>
                <w:i w:val="off"/>
                <w:strike w:val="off"/>
              </w:rPr>
            </w:r>
            <w:r>
              <w:rPr>
                <w:sz w:val="28"/>
                <w:rFonts w:ascii="Times New Roman" w:hAnsi="Times New Roman" w:cs="Times New Roman" w:eastAsia="Times New Roman"/>
                <w:color w:val="000000"/>
                <w:u w:val="none"/>
              </w:rPr>
            </w:r>
            <w:r>
              <w:rPr>
                <w:sz w:val="28"/>
                <w:rFonts w:ascii="Times New Roman" w:hAnsi="Times New Roman" w:cs="Times New Roman" w:eastAsia="Times New Roman"/>
                <w:color w:val="000000"/>
                <w:u w:val="none"/>
              </w:rPr>
              <w:t/>
            </w:r>
            <w:r>
              <w:rPr>
                <w:sz w:val="28"/>
                <w:rFonts w:ascii="Times New Roman" w:hAnsi="Times New Roman" w:cs="Times New Roman" w:eastAsia="Times New Roman"/>
                <w:color w:val="000000"/>
                <w:u w:val="none"/>
                <w:strike w:val="off"/>
              </w:rPr>
              <w:t>бесплатно</w:t>
            </w:r>
          </w:p>
        </w:tc>
        <w:tc>
          <w:tcPr>
            <w:tcW w:type="dxa" w:w="1190"/>
          </w:tcPr>
          <w:p>
            <w:pPr>
              <w:spacing w:before="0" w:after="0" w:lineRule="auto" w:line="240"/>
              <w:ind w:right="0" w:left="0" w:firstLine="0"/>
              <w:jc w:val="center"/>
            </w:pPr>
            <w:r>
              <w:rPr/>
            </w:r>
            <w:r>
              <w:rPr>
                <w:u w:val="none"/>
                <w:sz w:val="28"/>
                <w:rFonts w:ascii="Times New Roman" w:hAnsi="Times New Roman" w:cs="Times New Roman" w:eastAsia="Times New Roman"/>
                <w:color w:val="000000"/>
                <w:b w:val="off"/>
                <w:i w:val="off"/>
                <w:strike w:val="off"/>
              </w:rPr>
              <w:t/>
            </w:r>
            <w:r>
              <w:rPr/>
            </w:r>
            <w:r>
              <w:rPr>
                <w:u w:val="none"/>
                <w:sz w:val="28"/>
                <w:rFonts w:ascii="Times New Roman" w:hAnsi="Times New Roman" w:cs="Times New Roman" w:eastAsia="Times New Roman"/>
                <w:color w:val="000000"/>
                <w:b w:val="off"/>
                <w:i w:val="off"/>
                <w:strike w:val="off"/>
              </w:rPr>
            </w:r>
            <w:r>
              <w:rPr>
                <w:sz w:val="28"/>
                <w:rFonts w:ascii="Times New Roman" w:hAnsi="Times New Roman" w:cs="Times New Roman" w:eastAsia="Times New Roman"/>
                <w:color w:val="000000"/>
                <w:u w:val="none"/>
              </w:rPr>
            </w:r>
            <w:r>
              <w:rPr>
                <w:sz w:val="28"/>
                <w:rFonts w:ascii="Times New Roman" w:hAnsi="Times New Roman" w:cs="Times New Roman" w:eastAsia="Times New Roman"/>
                <w:color w:val="000000"/>
                <w:u w:val="none"/>
              </w:rPr>
              <w:t/>
            </w:r>
            <w:r>
              <w:rPr>
                <w:sz w:val="28"/>
                <w:rFonts w:ascii="Times New Roman" w:hAnsi="Times New Roman" w:cs="Times New Roman" w:eastAsia="Times New Roman"/>
                <w:color w:val="000000"/>
                <w:u w:val="none"/>
                <w:strike w:val="off"/>
              </w:rPr>
              <w:t>не пользуются</w:t>
            </w:r>
          </w:p>
        </w:tc>
        <w:tc>
          <w:tcPr>
            <w:tcW w:type="dxa" w:w="1190"/>
          </w:tcPr>
          <w:p>
            <w:pPr>
              <w:spacing w:before="0" w:after="0" w:lineRule="auto" w:line="240"/>
              <w:ind w:right="0" w:left="0" w:firstLine="0"/>
              <w:jc w:val="center"/>
            </w:pPr>
            <w:r>
              <w:rPr/>
            </w:r>
            <w:r>
              <w:rPr>
                <w:u w:val="none"/>
                <w:sz w:val="28"/>
                <w:rFonts w:ascii="Times New Roman" w:hAnsi="Times New Roman" w:cs="Times New Roman" w:eastAsia="Times New Roman"/>
                <w:color w:val="000000"/>
                <w:b w:val="off"/>
                <w:i w:val="off"/>
                <w:strike w:val="off"/>
              </w:rPr>
              <w:t/>
            </w:r>
            <w:r>
              <w:rPr/>
            </w:r>
            <w:r>
              <w:rPr>
                <w:u w:val="none"/>
                <w:sz w:val="28"/>
                <w:rFonts w:ascii="Times New Roman" w:hAnsi="Times New Roman" w:cs="Times New Roman" w:eastAsia="Times New Roman"/>
                <w:color w:val="000000"/>
                <w:b w:val="off"/>
                <w:i w:val="off"/>
                <w:strike w:val="off"/>
              </w:rPr>
            </w:r>
            <w:r>
              <w:rPr>
                <w:sz w:val="28"/>
                <w:rFonts w:ascii="Times New Roman" w:hAnsi="Times New Roman" w:cs="Times New Roman" w:eastAsia="Times New Roman"/>
                <w:color w:val="000000"/>
                <w:u w:val="none"/>
              </w:rPr>
            </w:r>
            <w:r>
              <w:rPr>
                <w:sz w:val="28"/>
                <w:rFonts w:ascii="Times New Roman" w:hAnsi="Times New Roman" w:cs="Times New Roman" w:eastAsia="Times New Roman"/>
                <w:color w:val="000000"/>
                <w:u w:val="none"/>
              </w:rPr>
              <w:t/>
            </w:r>
            <w:r>
              <w:rPr>
                <w:sz w:val="28"/>
                <w:rFonts w:ascii="Times New Roman" w:hAnsi="Times New Roman" w:cs="Times New Roman" w:eastAsia="Times New Roman"/>
                <w:color w:val="000000"/>
                <w:u w:val="none"/>
                <w:strike w:val="off"/>
              </w:rPr>
              <w:t>0</w:t>
            </w:r>
          </w:p>
        </w:tc>
        <w:tc>
          <w:tcPr>
            <w:tcW w:type="dxa" w:w="1190"/>
          </w:tcPr>
          <w:p>
            <w:pPr>
              <w:spacing w:before="0" w:after="0" w:lineRule="auto" w:line="240"/>
              <w:ind w:right="0" w:left="0" w:firstLine="0"/>
              <w:jc w:val="center"/>
            </w:pPr>
            <w:r>
              <w:rPr/>
            </w:r>
            <w:r>
              <w:rPr>
                <w:u w:val="none"/>
                <w:sz w:val="28"/>
                <w:rFonts w:ascii="Times New Roman" w:hAnsi="Times New Roman" w:cs="Times New Roman" w:eastAsia="Times New Roman"/>
                <w:color w:val="000000"/>
                <w:b w:val="off"/>
                <w:i w:val="off"/>
                <w:strike w:val="off"/>
              </w:rPr>
              <w:t/>
            </w:r>
            <w:r>
              <w:rPr/>
            </w:r>
            <w:r>
              <w:rPr>
                <w:u w:val="none"/>
                <w:sz w:val="28"/>
                <w:rFonts w:ascii="Times New Roman" w:hAnsi="Times New Roman" w:cs="Times New Roman" w:eastAsia="Times New Roman"/>
                <w:color w:val="000000"/>
                <w:b w:val="off"/>
                <w:i w:val="off"/>
                <w:strike w:val="off"/>
              </w:rPr>
            </w:r>
            <w:r>
              <w:rPr>
                <w:sz w:val="28"/>
                <w:rFonts w:ascii="Times New Roman" w:hAnsi="Times New Roman" w:cs="Times New Roman" w:eastAsia="Times New Roman"/>
                <w:color w:val="000000"/>
                <w:u w:val="none"/>
              </w:rPr>
            </w:r>
            <w:r>
              <w:rPr>
                <w:sz w:val="28"/>
                <w:rFonts w:ascii="Times New Roman" w:hAnsi="Times New Roman" w:cs="Times New Roman" w:eastAsia="Times New Roman"/>
                <w:color w:val="000000"/>
                <w:u w:val="none"/>
              </w:rPr>
              <w:t/>
            </w:r>
            <w:r>
              <w:rPr>
                <w:sz w:val="28"/>
                <w:rFonts w:ascii="Times New Roman" w:hAnsi="Times New Roman" w:cs="Times New Roman" w:eastAsia="Times New Roman"/>
                <w:color w:val="000000"/>
                <w:u w:val="none"/>
                <w:strike w:val="off"/>
              </w:rPr>
              <w:t>МИР</w:t>
            </w:r>
          </w:p>
        </w:tc>
        <w:tc>
          <w:tcPr>
            <w:tcW w:type="dxa" w:w="1190"/>
          </w:tcPr>
          <w:p>
            <w:pPr>
              <w:spacing w:before="0" w:after="0" w:lineRule="auto" w:line="240"/>
              <w:ind w:right="0" w:left="0" w:firstLine="0"/>
              <w:jc w:val="center"/>
            </w:pPr>
            <w:r>
              <w:rPr/>
            </w:r>
            <w:r>
              <w:rPr>
                <w:u w:val="none"/>
                <w:sz w:val="28"/>
                <w:rFonts w:ascii="Times New Roman" w:hAnsi="Times New Roman" w:cs="Times New Roman" w:eastAsia="Times New Roman"/>
                <w:color w:val="000000"/>
                <w:b w:val="off"/>
                <w:i w:val="off"/>
                <w:strike w:val="off"/>
              </w:rPr>
              <w:t/>
            </w:r>
            <w:r>
              <w:rPr/>
            </w:r>
            <w:r>
              <w:rPr>
                <w:u w:val="none"/>
                <w:sz w:val="28"/>
                <w:rFonts w:ascii="Times New Roman" w:hAnsi="Times New Roman" w:cs="Times New Roman" w:eastAsia="Times New Roman"/>
                <w:color w:val="000000"/>
                <w:b w:val="off"/>
                <w:i w:val="off"/>
                <w:strike w:val="off"/>
              </w:rPr>
            </w:r>
            <w:r>
              <w:rPr>
                <w:sz w:val="28"/>
                <w:rFonts w:ascii="Times New Roman" w:hAnsi="Times New Roman" w:cs="Times New Roman" w:eastAsia="Times New Roman"/>
                <w:color w:val="000000"/>
                <w:u w:val="none"/>
              </w:rPr>
            </w:r>
            <w:r>
              <w:rPr>
                <w:sz w:val="28"/>
                <w:rFonts w:ascii="Times New Roman" w:hAnsi="Times New Roman" w:cs="Times New Roman" w:eastAsia="Times New Roman"/>
                <w:color w:val="000000"/>
                <w:u w:val="none"/>
              </w:rPr>
              <w:t/>
            </w:r>
            <w:r>
              <w:rPr>
                <w:sz w:val="28"/>
                <w:rFonts w:ascii="Times New Roman" w:hAnsi="Times New Roman" w:cs="Times New Roman" w:eastAsia="Times New Roman"/>
                <w:color w:val="000000"/>
                <w:u w:val="none"/>
                <w:strike w:val="off"/>
              </w:rPr>
              <w:t>5</w:t>
            </w:r>
          </w:p>
        </w:tc>
      </w:tr>
    </w:tbl>
    <w:p>
      <w:pPr>
        <w:spacing w:before="0" w:after="0"/>
      </w:pPr>
      <w:r>
        <w:rPr/>
      </w:r>
      <w:r>
        <w:rPr>
          <w:u w:val="none"/>
          <w:sz w:val="28"/>
          <w:rFonts w:ascii="Times New Roman" w:hAnsi="Times New Roman" w:cs="Times New Roman" w:eastAsia="Times New Roman"/>
        </w:rPr>
      </w:r>
      <w:r>
        <w:rPr>
          <w:sz w:val="28"/>
          <w:rFonts w:ascii="Times New Roman" w:hAnsi="Times New Roman" w:cs="Times New Roman" w:eastAsia="Times New Roman"/>
          <w:u w:val="none"/>
        </w:rPr>
        <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n"/>
        </w:rPr>
        <w:t>Раздел 3 "Анализ отчета об исполнении бюджета субъектом бюджетной отчетности"</w:t>
      </w:r>
    </w:p>
    <w:p>
      <w:pPr>
        <w:spacing w:before="0" w:after="0"/>
        <w:ind w:firstLine="540"/>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  Информация, характеризующая результаты анализа исполнения текстовых статей закона (решения) о бюджете, имеющих отношение к деятельности управления, в целях раскрытия информации о результатах использования бюджетных ассигнований отчетного финансового года, отсутствует.</w:t>
      </w:r>
    </w:p>
    <w:p>
      <w:pPr>
        <w:spacing w:before="0" w:after="0"/>
        <w:ind w:firstLine="540"/>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Финансовое обеспечение расходов в 2025 году предусмотрено за счет муниципальных программ:</w:t>
      </w:r>
    </w:p>
    <w:p>
      <w:pPr>
        <w:spacing w:before="0" w:after="0"/>
        <w:ind w:firstLine="566"/>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«Развитие малого и среднего предпринимательства, сельского хозяйства и рынков сельскохозяйственной продукции, сырья и продовольствия, сферы размещения наружной рекламы и объектов наружной информации в муниципальном образовании», утвержденной постановлением Администрации города Оренбурга от 02.11.2021 № 2119-п;</w:t>
      </w:r>
    </w:p>
    <w:p>
      <w:pPr>
        <w:spacing w:before="0" w:after="0"/>
        <w:ind w:firstLine="566"/>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«Развитие муниципальной службы в Администрации города Оренбурга», утвержденной постановлением Администрации города Оренбурга от 19.09.2022 № 1730-п. </w:t>
      </w:r>
    </w:p>
    <w:p>
      <w:pPr>
        <w:spacing w:before="0" w:after="0"/>
        <w:ind w:firstLine="566"/>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На оплату расходов по исполнительным листам Комитету предусмотрены непрограммные расходы по целевой статье «Исполнение судебных актов и мировых соглашений, иные выплаты по обязательствам муниципального образования «город Оренбург».</w:t>
      </w:r>
    </w:p>
    <w:p>
      <w:pPr>
        <w:spacing w:before="0" w:after="0"/>
        <w:ind w:firstLine="709"/>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Бюджетные обязательства (денежные обязательства) сверх утвержденного объема бюджетных ассигнований и лимитов бюджетных обязательств Комитетом не принимались. Все лимиты бюджетных обязательств израсходованы по своему целевому назначению. </w:t>
      </w:r>
    </w:p>
    <w:p>
      <w:pPr>
        <w:spacing w:before="0" w:after="0"/>
        <w:ind w:firstLine="709"/>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Федеральные целевые программы, национальные и инвестиционные проекты Комитетом не исполнялись.</w:t>
      </w:r>
    </w:p>
    <w:p>
      <w:pPr>
        <w:spacing w:before="0" w:after="0"/>
        <w:ind w:firstLine="709"/>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Комитет </w:t>
      </w:r>
      <w:r>
        <w:rPr>
          <w:sz w:val="38"/>
          <w:rFonts w:ascii="Times New Roman" w:hAnsi="Times New Roman" w:cs="Times New Roman" w:eastAsia="Times New Roman"/>
          <w:u w:val="none"/>
        </w:rPr>
        <w:t xml:space="preserve">является главным администратором доходов в соответствии с </w:t>
      </w:r>
      <w:r>
        <w:rPr>
          <w:sz w:val="38"/>
          <w:rFonts w:ascii="Times New Roman" w:hAnsi="Times New Roman" w:cs="Times New Roman" w:eastAsia="Times New Roman"/>
          <w:u w:val="none"/>
          <w:color w:val="000000"/>
        </w:rPr>
        <w:t>постановлением Администрации города Оренбурга от 29.10.2021 № 2084-п «Об утверждении перечня главных администраторов доходов бюджета города Оренбурга»,</w:t>
      </w:r>
      <w:r>
        <w:rPr>
          <w:sz w:val="38"/>
          <w:rFonts w:ascii="Times New Roman" w:hAnsi="Times New Roman" w:cs="Times New Roman" w:eastAsia="Times New Roman"/>
          <w:u w:val="none"/>
        </w:rPr>
        <w:t xml:space="preserve"> главным распорядителем бюджетных средств на 2025 год в соответствии с Решением Оренбургского городского Совета от  24.12.2024 № 565 «О бюджете города Оренбурга на 2025 год и плановый период 2026 и 2027 годов». </w:t>
      </w:r>
    </w:p>
    <w:p>
      <w:pPr>
        <w:spacing w:before="0" w:after="0"/>
        <w:ind w:firstLine="708"/>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Форма № 0503164 «Сведения об исполнении бюджета». </w:t>
      </w:r>
    </w:p>
    <w:p>
      <w:pPr>
        <w:spacing w:before="0" w:after="0"/>
        <w:ind w:firstLine="709"/>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В соответствии с приказом финансового управления администрации города Оренбурга от 18.03.2019 № 27 «Об установлении Порядка составления, представления бюджетной отчетности и сводной бухгалтерской отчетности» в форме отражаются показатели</w:t>
      </w:r>
      <w:r>
        <w:rPr>
          <w:sz w:val="38"/>
          <w:rFonts w:ascii="Times New Roman" w:hAnsi="Times New Roman" w:cs="Times New Roman" w:eastAsia="Times New Roman"/>
          <w:u w:val="none"/>
        </w:rPr>
        <w:t xml:space="preserve">, по которым исполнение составило </w:t>
      </w:r>
      <w:r>
        <w:rPr>
          <w:sz w:val="38"/>
          <w:rFonts w:ascii="Times New Roman" w:hAnsi="Times New Roman" w:cs="Times New Roman" w:eastAsia="Times New Roman"/>
          <w:u w:val="none"/>
          <w:color w:val="000000"/>
        </w:rPr>
        <w:t>менее 95 % и более 105% </w:t>
      </w:r>
      <w:r>
        <w:rPr>
          <w:sz w:val="38"/>
          <w:rFonts w:ascii="Times New Roman" w:hAnsi="Times New Roman" w:cs="Times New Roman" w:eastAsia="Times New Roman"/>
          <w:u w:val="none"/>
        </w:rPr>
        <w:t>по доходам</w:t>
      </w:r>
      <w:r>
        <w:rPr>
          <w:sz w:val="38"/>
          <w:rFonts w:ascii="Times New Roman" w:hAnsi="Times New Roman" w:cs="Times New Roman" w:eastAsia="Times New Roman"/>
          <w:u w:val="none"/>
        </w:rPr>
        <w:t> и по расходам бюджета, исполнение по которым за отчетный период составило менее 95% от утвержденных годовых назначений с указанием причин неисполнения.</w:t>
      </w:r>
    </w:p>
    <w:p>
      <w:pPr>
        <w:spacing w:before="0" w:after="0"/>
        <w:ind w:firstLine="709"/>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Плановые показатели поступлений доходов в бюджет города Оренбург на 2025 год в Комитете составляют 94301100,00 руб. В отчетном периоде в бюджет города Оренбурга поступило администрируемых комитетом неналоговых доходов на сумму 96 381 452,14 руб. или</w:t>
      </w:r>
      <w:r>
        <w:rPr>
          <w:sz w:val="38"/>
          <w:rFonts w:ascii="Times New Roman" w:hAnsi="Times New Roman" w:cs="Times New Roman" w:eastAsia="Times New Roman"/>
          <w:u w:val="none"/>
        </w:rPr>
        <w:t> 102,21%. </w:t>
      </w:r>
    </w:p>
    <w:p>
      <w:pPr>
        <w:spacing w:before="0" w:after="0"/>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         Согласно методике прогнозирования по КБК 01311302994040060130 «</w:t>
      </w:r>
      <w:r>
        <w:rPr>
          <w:sz w:val="38"/>
          <w:rFonts w:ascii="Times New Roman" w:hAnsi="Times New Roman" w:cs="Times New Roman" w:eastAsia="Times New Roman"/>
          <w:u w:val="none"/>
        </w:rPr>
        <w:t xml:space="preserve">Прочие доходы от компенсации затрат бюджетов городских округов (доходы бюджета от возврата дебиторской задолженности)» поступления по данному коду не являются систематическими. Плановые назначения в отчетном периоде отсутствуют. В бюджет города Оренбурга поступило неналоговых доходов </w:t>
      </w:r>
      <w:r>
        <w:rPr>
          <w:sz w:val="38"/>
          <w:rFonts w:ascii="Times New Roman" w:hAnsi="Times New Roman" w:cs="Times New Roman" w:eastAsia="Times New Roman"/>
          <w:u w:val="none"/>
          <w:color w:val="000000"/>
        </w:rPr>
        <w:t>по КБК 01311302994040060130 в </w:t>
      </w:r>
      <w:r>
        <w:rPr>
          <w:sz w:val="38"/>
          <w:rFonts w:ascii="Times New Roman" w:hAnsi="Times New Roman" w:cs="Times New Roman" w:eastAsia="Times New Roman"/>
          <w:u w:val="none"/>
        </w:rPr>
        <w:t>сумме 16290,79 руб. (поступление денежных средств от возврата СФР ПО ОРЕНБУРГСКОЙ ОБЛАСТИ возмещения расходов на оплату дополнительных выходных дней по уходу за детьми-инвалидами).</w:t>
      </w:r>
    </w:p>
    <w:p>
      <w:pPr>
        <w:spacing w:before="0" w:after="0"/>
        <w:ind w:firstLine="540"/>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Процент исполнения по расходам бюджета составил 99,64% или 35944765,61 руб. от утвержденных годовых бюджетных назначений  36073909,37 руб. В форме отражены целевые статьи, исполнение по которым составило менее указанного процента исполнения. Расшифровка кода причины 99 приведена ниже в таблице:</w:t>
      </w:r>
    </w:p>
    <w:p>
      <w:pPr>
        <w:spacing w:before="0" w:after="0"/>
      </w:pPr>
      <w:r>
        <w:rPr/>
      </w:r>
      <w:r>
        <w:rPr>
          <w:u w:val="none"/>
        </w:rPr>
      </w:r>
      <w:r>
        <w:rPr>
          <w:u w:val="none"/>
          <w:sz w:val="24"/>
        </w:rPr>
        <w:t/>
      </w:r>
    </w:p>
    <w:tbl>
      <w:tblPr>
        <w:tblW w:w="10711" w:type="dxa"/>
        <w:tblBorders>
          <w:top w:val="single" w:sz="8"/>
          <w:left w:val="single" w:sz="8"/>
          <w:bottom w:val="single" w:sz="8"/>
          <w:right w:val="single" w:sz="8"/>
          <w:insideH w:val="single" w:sz="8"/>
          <w:insideV w:val="single" w:sz="8"/>
        </w:tblBorders>
        <w:tblLayout w:type="fixed"/>
      </w:tblPr>
      <w:tblGrid>
        <w:gridCol w:w="1338"/>
        <w:gridCol w:w="1338"/>
        <w:gridCol w:w="1338"/>
        <w:gridCol w:w="1338"/>
        <w:gridCol w:w="1338"/>
        <w:gridCol w:w="1338"/>
        <w:gridCol w:w="1338"/>
        <w:gridCol w:w="1338"/>
      </w:tblGrid>
      <w:tr>
        <w:trPr>
          <w:tblHeader/>
        </w:trPr>
        <w:tc>
          <w:tcPr>
            <w:tcW w:type="dxa" w:w="1338"/>
            <w:vMerge w:val="restart"/>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4"/>
                <w:rFonts w:ascii="Times New Roman" w:hAnsi="Times New Roman" w:cs="Times New Roman" w:eastAsia="Times New Roman"/>
                <w:u w:val="none"/>
                <w:color w:val="000000"/>
              </w:rPr>
              <w:t>Код по бюджетной классификации</w:t>
            </w:r>
          </w:p>
        </w:tc>
        <w:tc>
          <w:tcPr>
            <w:tcW w:type="dxa" w:w="1338"/>
            <w:vMerge w:val="restart"/>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4"/>
                <w:rFonts w:ascii="Times New Roman" w:hAnsi="Times New Roman" w:cs="Times New Roman" w:eastAsia="Times New Roman"/>
                <w:u w:val="none"/>
                <w:color w:val="000000"/>
              </w:rPr>
              <w:t>Утвержденные бюджетные назначения (прогнозные показатели)</w:t>
            </w:r>
          </w:p>
        </w:tc>
        <w:tc>
          <w:tcPr>
            <w:tcW w:type="dxa" w:w="1338"/>
            <w:vMerge w:val="restart"/>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4"/>
                <w:rFonts w:ascii="Times New Roman" w:hAnsi="Times New Roman" w:cs="Times New Roman" w:eastAsia="Times New Roman"/>
                <w:u w:val="none"/>
                <w:color w:val="000000"/>
              </w:rPr>
              <w:t>Доведенные бюджетные данные</w:t>
            </w:r>
          </w:p>
        </w:tc>
        <w:tc>
          <w:tcPr>
            <w:tcW w:type="dxa" w:w="1338"/>
            <w:vMerge w:val="restart"/>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4"/>
                <w:rFonts w:ascii="Times New Roman" w:hAnsi="Times New Roman" w:cs="Times New Roman" w:eastAsia="Times New Roman"/>
                <w:u w:val="none"/>
                <w:color w:val="000000"/>
              </w:rPr>
              <w:t>Исполнено,</w:t>
            </w:r>
            <w:r>
              <w:rPr>
                <w:sz w:val="24"/>
                <w:rFonts w:ascii="Times New Roman" w:hAnsi="Times New Roman" w:cs="Times New Roman" w:eastAsia="Times New Roman"/>
                <w:u w:val="none"/>
                <w:color w:val="000000"/>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4"/>
                <w:rFonts w:ascii="Times New Roman" w:hAnsi="Times New Roman" w:cs="Times New Roman" w:eastAsia="Times New Roman"/>
                <w:u w:val="none"/>
                <w:color w:val="000000"/>
              </w:rPr>
              <w:t/>
            </w:r>
            <w:r>
              <w:rPr>
                <w:sz w:val="24"/>
                <w:rFonts w:ascii="Times New Roman" w:hAnsi="Times New Roman" w:cs="Times New Roman" w:eastAsia="Times New Roman"/>
                <w:u w:val="none"/>
                <w:color w:val="000000"/>
              </w:rPr>
              <w:t> руб.</w:t>
            </w:r>
          </w:p>
        </w:tc>
        <w:tc>
          <w:tcPr>
            <w:tcW w:type="dxa" w:w="2676"/>
            <w:gridSpan w:val="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4"/>
                <w:rFonts w:ascii="Times New Roman" w:hAnsi="Times New Roman" w:cs="Times New Roman" w:eastAsia="Times New Roman"/>
                <w:u w:val="none"/>
                <w:color w:val="000000"/>
              </w:rPr>
              <w:t>Показатели исполнения</w:t>
            </w:r>
          </w:p>
        </w:tc>
        <w:tc>
          <w:tcPr>
            <w:tcW w:type="dxa" w:w="2676"/>
            <w:gridSpan w:val="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4"/>
                <w:rFonts w:ascii="Times New Roman" w:hAnsi="Times New Roman" w:cs="Times New Roman" w:eastAsia="Times New Roman"/>
                <w:u w:val="none"/>
                <w:color w:val="000000"/>
              </w:rPr>
              <w:t>Причины отклонений от планового процента</w:t>
            </w:r>
          </w:p>
        </w:tc>
      </w:tr>
      <w:tr>
        <w:tc>
          <w:tcPr>
            <w:tcW w:type="dxa" w:w="1338"/>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1338"/>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1338"/>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1338"/>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1338"/>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4"/>
                <w:rFonts w:ascii="Times New Roman" w:hAnsi="Times New Roman" w:cs="Times New Roman" w:eastAsia="Times New Roman"/>
                <w:u w:val="none"/>
                <w:color w:val="000000"/>
              </w:rPr>
              <w:t>процент исполнения¹,%</w:t>
            </w:r>
          </w:p>
        </w:tc>
        <w:tc>
          <w:tcPr>
            <w:tcW w:type="dxa" w:w="1338"/>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4"/>
                <w:rFonts w:ascii="Times New Roman" w:hAnsi="Times New Roman" w:cs="Times New Roman" w:eastAsia="Times New Roman"/>
                <w:u w:val="none"/>
                <w:color w:val="000000"/>
              </w:rPr>
              <w:t>сумма отклонения, руб.</w:t>
            </w:r>
            <w:r>
              <w:rPr>
                <w:sz w:val="24"/>
                <w:rFonts w:ascii="Times New Roman" w:hAnsi="Times New Roman" w:cs="Times New Roman" w:eastAsia="Times New Roman"/>
                <w:u w:val="none"/>
                <w:color w:val="000000"/>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4"/>
                <w:rFonts w:ascii="Times New Roman" w:hAnsi="Times New Roman" w:cs="Times New Roman" w:eastAsia="Times New Roman"/>
                <w:u w:val="none"/>
                <w:color w:val="000000"/>
              </w:rPr>
              <w:t/>
            </w:r>
            <w:r>
              <w:rPr>
                <w:sz w:val="24"/>
                <w:rFonts w:ascii="Times New Roman" w:hAnsi="Times New Roman" w:cs="Times New Roman" w:eastAsia="Times New Roman"/>
                <w:u w:val="none"/>
                <w:color w:val="000000"/>
              </w:rPr>
              <w:t> (гр. 5 - гр. 3)</w:t>
            </w:r>
          </w:p>
        </w:tc>
        <w:tc>
          <w:tcPr>
            <w:tcW w:type="dxa" w:w="1338"/>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4"/>
                <w:rFonts w:ascii="Times New Roman" w:hAnsi="Times New Roman" w:cs="Times New Roman" w:eastAsia="Times New Roman"/>
                <w:u w:val="none"/>
                <w:color w:val="000000"/>
              </w:rPr>
              <w:t>код</w:t>
            </w:r>
          </w:p>
        </w:tc>
        <w:tc>
          <w:tcPr>
            <w:tcW w:type="dxa" w:w="1338"/>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4"/>
                <w:rFonts w:ascii="Times New Roman" w:hAnsi="Times New Roman" w:cs="Times New Roman" w:eastAsia="Times New Roman"/>
                <w:u w:val="none"/>
                <w:color w:val="000000"/>
              </w:rPr>
              <w:t>пояснения</w:t>
            </w:r>
          </w:p>
        </w:tc>
      </w:tr>
      <w:tr>
        <w:tc>
          <w:tcPr>
            <w:tcW w:type="dxa" w:w="1338"/>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4"/>
                <w:rFonts w:ascii="Times New Roman" w:hAnsi="Times New Roman" w:cs="Times New Roman" w:eastAsia="Times New Roman"/>
                <w:u w:val="none"/>
                <w:color w:val="000000"/>
              </w:rPr>
              <w:t>1</w:t>
            </w:r>
          </w:p>
        </w:tc>
        <w:tc>
          <w:tcPr>
            <w:tcW w:type="dxa" w:w="1338"/>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4"/>
                <w:rFonts w:ascii="Times New Roman" w:hAnsi="Times New Roman" w:cs="Times New Roman" w:eastAsia="Times New Roman"/>
                <w:u w:val="none"/>
                <w:color w:val="000000"/>
              </w:rPr>
              <w:t>2</w:t>
            </w:r>
          </w:p>
        </w:tc>
        <w:tc>
          <w:tcPr>
            <w:tcW w:type="dxa" w:w="1338"/>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4"/>
                <w:rFonts w:ascii="Times New Roman" w:hAnsi="Times New Roman" w:cs="Times New Roman" w:eastAsia="Times New Roman"/>
                <w:u w:val="none"/>
                <w:color w:val="000000"/>
              </w:rPr>
              <w:t>3</w:t>
            </w:r>
          </w:p>
        </w:tc>
        <w:tc>
          <w:tcPr>
            <w:tcW w:type="dxa" w:w="1338"/>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4"/>
                <w:rFonts w:ascii="Times New Roman" w:hAnsi="Times New Roman" w:cs="Times New Roman" w:eastAsia="Times New Roman"/>
                <w:u w:val="none"/>
                <w:color w:val="000000"/>
              </w:rPr>
              <w:t>4</w:t>
            </w:r>
          </w:p>
        </w:tc>
        <w:tc>
          <w:tcPr>
            <w:tcW w:type="dxa" w:w="1338"/>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4"/>
                <w:rFonts w:ascii="Times New Roman" w:hAnsi="Times New Roman" w:cs="Times New Roman" w:eastAsia="Times New Roman"/>
                <w:u w:val="none"/>
                <w:color w:val="000000"/>
              </w:rPr>
              <w:t>5</w:t>
            </w:r>
          </w:p>
        </w:tc>
        <w:tc>
          <w:tcPr>
            <w:tcW w:type="dxa" w:w="1338"/>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4"/>
                <w:rFonts w:ascii="Times New Roman" w:hAnsi="Times New Roman" w:cs="Times New Roman" w:eastAsia="Times New Roman"/>
                <w:u w:val="none"/>
                <w:color w:val="000000"/>
              </w:rPr>
              <w:t>6</w:t>
            </w:r>
          </w:p>
        </w:tc>
        <w:tc>
          <w:tcPr>
            <w:tcW w:type="dxa" w:w="1338"/>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4"/>
                <w:rFonts w:ascii="Times New Roman" w:hAnsi="Times New Roman" w:cs="Times New Roman" w:eastAsia="Times New Roman"/>
                <w:u w:val="none"/>
                <w:color w:val="000000"/>
              </w:rPr>
              <w:t>7</w:t>
            </w:r>
          </w:p>
        </w:tc>
        <w:tc>
          <w:tcPr>
            <w:tcW w:type="dxa" w:w="1338"/>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4"/>
                <w:rFonts w:ascii="Times New Roman" w:hAnsi="Times New Roman" w:cs="Times New Roman" w:eastAsia="Times New Roman"/>
                <w:u w:val="none"/>
                <w:color w:val="000000"/>
              </w:rPr>
              <w:t>8</w:t>
            </w:r>
          </w:p>
        </w:tc>
      </w:tr>
      <w:tr>
        <w:tc>
          <w:tcPr>
            <w:tcW w:type="dxa" w:w="1338"/>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4"/>
                <w:rFonts w:ascii="Times New Roman" w:hAnsi="Times New Roman" w:cs="Times New Roman" w:eastAsia="Times New Roman"/>
                <w:u w:val="none"/>
                <w:color w:val="000000"/>
              </w:rPr>
              <w:t>013 0412 7720000000 000</w:t>
            </w:r>
          </w:p>
        </w:tc>
        <w:tc>
          <w:tcPr>
            <w:tcW w:type="dxa" w:w="1338"/>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4"/>
                <w:rFonts w:ascii="Times New Roman" w:hAnsi="Times New Roman" w:cs="Times New Roman" w:eastAsia="Times New Roman"/>
                <w:u w:val="none"/>
                <w:color w:val="000000"/>
              </w:rPr>
              <w:t>720 000,00</w:t>
            </w:r>
          </w:p>
        </w:tc>
        <w:tc>
          <w:tcPr>
            <w:tcW w:type="dxa" w:w="1338"/>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4"/>
                <w:rFonts w:ascii="Times New Roman" w:hAnsi="Times New Roman" w:cs="Times New Roman" w:eastAsia="Times New Roman"/>
                <w:u w:val="none"/>
                <w:color w:val="000000"/>
              </w:rPr>
              <w:t>720 000,00</w:t>
            </w:r>
          </w:p>
        </w:tc>
        <w:tc>
          <w:tcPr>
            <w:tcW w:type="dxa" w:w="1338"/>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4"/>
                <w:rFonts w:ascii="Times New Roman" w:hAnsi="Times New Roman" w:cs="Times New Roman" w:eastAsia="Times New Roman"/>
                <w:u w:val="none"/>
                <w:color w:val="000000"/>
              </w:rPr>
              <w:t>682 966,32</w:t>
            </w:r>
          </w:p>
        </w:tc>
        <w:tc>
          <w:tcPr>
            <w:tcW w:type="dxa" w:w="1338"/>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4"/>
                <w:rFonts w:ascii="Times New Roman" w:hAnsi="Times New Roman" w:cs="Times New Roman" w:eastAsia="Times New Roman"/>
                <w:u w:val="none"/>
                <w:color w:val="000000"/>
              </w:rPr>
              <w:t>94,86</w:t>
            </w:r>
          </w:p>
        </w:tc>
        <w:tc>
          <w:tcPr>
            <w:tcW w:type="dxa" w:w="1338"/>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4"/>
                <w:rFonts w:ascii="Times New Roman" w:hAnsi="Times New Roman" w:cs="Times New Roman" w:eastAsia="Times New Roman"/>
                <w:u w:val="none"/>
                <w:color w:val="000000"/>
              </w:rPr>
              <w:t>-37033,65</w:t>
            </w:r>
          </w:p>
        </w:tc>
        <w:tc>
          <w:tcPr>
            <w:tcW w:type="dxa" w:w="1338"/>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4"/>
                <w:rFonts w:ascii="Times New Roman" w:hAnsi="Times New Roman" w:cs="Times New Roman" w:eastAsia="Times New Roman"/>
                <w:u w:val="none"/>
                <w:color w:val="000000"/>
              </w:rPr>
              <w:t>99</w:t>
            </w:r>
          </w:p>
        </w:tc>
        <w:tc>
          <w:tcPr>
            <w:tcW w:type="dxa" w:w="1338"/>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4"/>
                <w:rFonts w:ascii="Times New Roman" w:hAnsi="Times New Roman" w:cs="Times New Roman" w:eastAsia="Times New Roman"/>
                <w:u w:val="none"/>
                <w:color w:val="000000"/>
              </w:rPr>
              <w:t>Расходы произведены согласно поступившим исполнительным листам</w:t>
            </w:r>
          </w:p>
        </w:tc>
      </w:tr>
    </w:tbl>
    <w:p>
      <w:pPr>
        <w:spacing w:before="0" w:after="0"/>
      </w:pPr>
      <w:r>
        <w:rPr/>
      </w:r>
      <w:r>
        <w:rPr>
          <w:u w:val="none"/>
        </w:rPr>
      </w:r>
      <w:r>
        <w:rPr>
          <w:u w:val="none"/>
          <w:sz w:val="24"/>
        </w:rPr>
        <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n"/>
        </w:rPr>
        <w:t>Раздел 4 "Анализ показателей бухгалтерской отчетности субъекта бюджетной отчетности"</w:t>
      </w:r>
    </w:p>
    <w:p>
      <w:pPr>
        <w:spacing w:before="0" w:after="0"/>
        <w:jc w:val="center"/>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Расшифровка к Отчету о финансовых результатах деятельности ф. 0503121 на 01.01.2026 по КОСГУ:</w:t>
      </w:r>
    </w:p>
    <w:p>
      <w:pPr>
        <w:spacing w:before="0" w:after="0"/>
      </w:pPr>
      <w:r>
        <w:rPr/>
      </w:r>
      <w:r>
        <w:rPr>
          <w:u w:val="none"/>
        </w:rPr>
      </w:r>
      <w:r>
        <w:rPr>
          <w:u w:val="none"/>
          <w:sz w:val="24"/>
        </w:rPr>
        <w:t/>
      </w:r>
    </w:p>
    <w:tbl>
      <w:tblPr>
        <w:tblW w:w="10711" w:type="dxa"/>
        <w:tblBorders>
          <w:top w:val="single" w:sz="8"/>
          <w:left w:val="single" w:sz="8"/>
          <w:bottom w:val="single" w:sz="8"/>
          <w:right w:val="single" w:sz="8"/>
          <w:insideH w:val="single" w:sz="8"/>
          <w:insideV w:val="single" w:sz="8"/>
        </w:tblBorders>
        <w:tblLayout w:type="fixed"/>
      </w:tblPr>
      <w:tblGrid>
        <w:gridCol w:w="3570"/>
        <w:gridCol w:w="3570"/>
        <w:gridCol w:w="3570"/>
      </w:tblGrid>
      <w:tr>
        <w:trPr>
          <w:tblHeader/>
        </w:trPr>
        <w:tc>
          <w:tcPr>
            <w:tcW w:type="dxa" w:w="3570"/>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КОСГУ</w:t>
            </w:r>
          </w:p>
        </w:tc>
        <w:tc>
          <w:tcPr>
            <w:tcW w:type="dxa" w:w="3570"/>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Сумма, руб.</w:t>
            </w:r>
          </w:p>
        </w:tc>
        <w:tc>
          <w:tcPr>
            <w:tcW w:type="dxa" w:w="3570"/>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Пояснение</w:t>
            </w:r>
          </w:p>
        </w:tc>
      </w:tr>
      <w:tr>
        <w:tc>
          <w:tcPr>
            <w:tcW w:type="dxa" w:w="3570"/>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1</w:t>
            </w:r>
          </w:p>
        </w:tc>
        <w:tc>
          <w:tcPr>
            <w:tcW w:type="dxa" w:w="3570"/>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2</w:t>
            </w:r>
          </w:p>
        </w:tc>
        <w:tc>
          <w:tcPr>
            <w:tcW w:type="dxa" w:w="3570"/>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3</w:t>
            </w:r>
          </w:p>
        </w:tc>
      </w:tr>
      <w:tr>
        <w:tc>
          <w:tcPr>
            <w:tcW w:type="dxa" w:w="3570"/>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172</w:t>
            </w:r>
          </w:p>
        </w:tc>
        <w:tc>
          <w:tcPr>
            <w:tcW w:type="dxa" w:w="3570"/>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4 876,32</w:t>
            </w:r>
          </w:p>
        </w:tc>
        <w:tc>
          <w:tcPr>
            <w:tcW w:type="dxa" w:w="3570"/>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Списание ОС с восстановлением на балансе для передачи</w:t>
            </w:r>
          </w:p>
        </w:tc>
      </w:tr>
      <w:tr>
        <w:tc>
          <w:tcPr>
            <w:tcW w:type="dxa" w:w="3570"/>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173</w:t>
            </w:r>
          </w:p>
        </w:tc>
        <w:tc>
          <w:tcPr>
            <w:tcW w:type="dxa" w:w="3570"/>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-2 599 328,05</w:t>
            </w:r>
          </w:p>
        </w:tc>
        <w:tc>
          <w:tcPr>
            <w:tcW w:type="dxa" w:w="3570"/>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Списана безнадежная к взысканию задолженность в сумме 140278,27 руб.</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Признана дебиторская задолженность сомнительной в сумме 3688884,72 руб.</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Восстановлена на балансе кредиторская задолженность на сумму 54 000,00 руб.</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Всего на сумму 3883162,99 руб.</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Восстановлена на балансе сомнительная задолженность на сумму 368 393,76 руб.</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Списана кредиторская задолженность для дальнейшего наблюдения на сумму 578 691,28 руб.</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Списана кредиторская задолженность по истечении сроков исковой давности на сумму 336749,90 руб.</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Всего на сумму 1 283 834,94 руб.</w:t>
            </w:r>
          </w:p>
        </w:tc>
      </w:tr>
      <w:tr>
        <w:tc>
          <w:tcPr>
            <w:tcW w:type="dxa" w:w="3570"/>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174</w:t>
            </w:r>
          </w:p>
        </w:tc>
        <w:tc>
          <w:tcPr>
            <w:tcW w:type="dxa" w:w="3570"/>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-2 013,87</w:t>
            </w:r>
          </w:p>
        </w:tc>
        <w:tc>
          <w:tcPr>
            <w:tcW w:type="dxa" w:w="3570"/>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Списание неустойки, начисленной по муниципальному контракту</w:t>
            </w:r>
          </w:p>
        </w:tc>
      </w:tr>
    </w:tbl>
    <w:p>
      <w:pPr>
        <w:spacing w:before="0" w:after="0"/>
      </w:pPr>
      <w:r>
        <w:rPr/>
      </w:r>
      <w:r>
        <w:rPr>
          <w:u w:val="none"/>
        </w:rPr>
      </w:r>
      <w:r>
        <w:rPr>
          <w:u w:val="none"/>
          <w:sz w:val="24"/>
        </w:rPr>
        <w:t/>
      </w:r>
    </w:p>
    <w:p>
      <w:pPr>
        <w:spacing w:before="0" w:after="0"/>
        <w:ind w:right="0" w:left="566"/>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Форма 0503125 «Справка по консолидируемым расчетам». </w:t>
      </w:r>
    </w:p>
    <w:p>
      <w:pPr>
        <w:spacing w:before="0" w:after="0"/>
        <w:ind w:firstLine="566"/>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В отчетном периоде осуществлялась внутрибюджетная передача объектов нефинансовых активов (передача имущества 401 20 281)  на сумму 4876,32 руб.</w:t>
      </w:r>
    </w:p>
    <w:p>
      <w:pPr>
        <w:spacing w:before="0" w:after="0"/>
      </w:pPr>
      <w:r>
        <w:rPr/>
      </w:r>
      <w:r>
        <w:rPr>
          <w:u w:val="none"/>
        </w:rPr>
      </w:r>
      <w:r>
        <w:rPr>
          <w:u w:val="none"/>
          <w:sz w:val="24"/>
        </w:rPr>
        <w:t/>
      </w:r>
    </w:p>
    <w:p>
      <w:pPr>
        <w:spacing w:before="0" w:after="0"/>
      </w:pPr>
      <w:r>
        <w:rPr/>
      </w:r>
      <w:r>
        <w:rPr>
          <w:u w:val="none"/>
        </w:rPr>
      </w:r>
      <w:r>
        <w:rPr>
          <w:u w:val="none"/>
          <w:sz w:val="24"/>
        </w:rPr>
        <w:t/>
      </w:r>
      <w:r>
        <w:rPr>
          <w:u w:val="none"/>
          <w:sz w:val="32"/>
          <w:rFonts w:ascii="Times New Roman" w:hAnsi="Times New Roman" w:cs="Times New Roman" w:eastAsia="Times New Roman"/>
        </w:rPr>
        <w:t>№ п/п</w:t>
      </w:r>
      <w:r>
        <w:rPr>
          <w:u w:val="none"/>
          <w:sz w:val="32"/>
          <w:rFonts w:ascii="Times New Roman" w:hAnsi="Times New Roman" w:cs="Times New Roman" w:eastAsia="Times New Roman"/>
        </w:rPr>
        <w:t>Наименование принимающего</w:t>
      </w:r>
      <w:r>
        <w:rPr>
          <w:u w:val="none"/>
          <w:sz w:val="32"/>
          <w:rFonts w:ascii="Times New Roman" w:hAnsi="Times New Roman" w:cs="Times New Roman" w:eastAsia="Times New Roman"/>
        </w:rPr>
        <w:t>контрагента</w:t>
      </w:r>
      <w:r>
        <w:rPr>
          <w:u w:val="none"/>
          <w:sz w:val="32"/>
          <w:rFonts w:ascii="Times New Roman" w:hAnsi="Times New Roman" w:cs="Times New Roman" w:eastAsia="Times New Roman"/>
        </w:rPr>
        <w:t>Описание переданного имущества</w:t>
      </w:r>
      <w:r>
        <w:rPr>
          <w:u w:val="none"/>
          <w:sz w:val="32"/>
          <w:rFonts w:ascii="Times New Roman" w:hAnsi="Times New Roman" w:cs="Times New Roman" w:eastAsia="Times New Roman"/>
        </w:rPr>
        <w:t>Стоимость, руб.</w:t>
      </w:r>
      <w:r>
        <w:rPr>
          <w:u w:val="none"/>
          <w:sz w:val="32"/>
          <w:rFonts w:ascii="Times New Roman" w:hAnsi="Times New Roman" w:cs="Times New Roman" w:eastAsia="Times New Roman"/>
        </w:rPr>
        <w:t> Сумма амортизации, руб.</w:t>
      </w:r>
      <w:r>
        <w:rPr>
          <w:u w:val="none"/>
          <w:sz w:val="32"/>
          <w:rFonts w:ascii="Times New Roman" w:hAnsi="Times New Roman" w:cs="Times New Roman" w:eastAsia="Times New Roman"/>
        </w:rPr>
        <w:t>1</w:t>
      </w:r>
      <w:r>
        <w:rPr>
          <w:u w:val="none"/>
          <w:sz w:val="32"/>
          <w:rFonts w:ascii="Times New Roman" w:hAnsi="Times New Roman" w:cs="Times New Roman" w:eastAsia="Times New Roman"/>
        </w:rPr>
        <w:t>АДМИНИСТРАЦИЯ ЮЖНОГО ОКРУГА ГОРОДА ОРЕНБУРГА</w:t>
      </w:r>
      <w:r>
        <w:rPr>
          <w:u w:val="none"/>
          <w:sz w:val="32"/>
          <w:rFonts w:ascii="Times New Roman" w:hAnsi="Times New Roman" w:cs="Times New Roman" w:eastAsia="Times New Roman"/>
        </w:rPr>
        <w:rPr>
          <w:shd w:fill="FFFFFF"/>
        </w:rPr>
        <w:t>Столы офисные в количестве 2 штук</w:t>
      </w:r>
      <w:r>
        <w:rPr>
          <w:u w:val="none"/>
          <w:sz w:val="32"/>
          <w:rFonts w:ascii="Times New Roman" w:hAnsi="Times New Roman" w:cs="Times New Roman" w:eastAsia="Times New Roman"/>
        </w:rPr>
        <w:rPr>
          <w:shd w:fill="FFFFFF"/>
        </w:rPr>
        <w:t>(распоряжение Департамента имущественных и жилищных отношений администрации города Оренбурга от 30.01.2025 № 35)</w:t>
      </w:r>
      <w:r>
        <w:rPr>
          <w:u w:val="none"/>
          <w:sz w:val="32"/>
          <w:rFonts w:ascii="Times New Roman" w:hAnsi="Times New Roman" w:cs="Times New Roman" w:eastAsia="Times New Roman"/>
        </w:rPr>
        <w:rPr>
          <w:shd w:fill="FFFFFF"/>
        </w:rPr>
        <w:t>4 876,32</w:t>
      </w:r>
      <w:r>
        <w:rPr>
          <w:u w:val="none"/>
          <w:sz w:val="26"/>
          <w:rFonts w:ascii="Times New Roman" w:hAnsi="Times New Roman" w:cs="Times New Roman" w:eastAsia="Times New Roman"/>
        </w:rPr>
        <w:rPr>
          <w:shd w:fill="FFFFFF"/>
        </w:rPr>
        <w:t/>
      </w:r>
    </w:p>
    <w:p>
      <w:pPr>
        <w:spacing w:before="0" w:after="0"/>
      </w:pPr>
      <w:r>
        <w:rPr/>
      </w:r>
      <w:r>
        <w:rPr>
          <w:u w:val="none"/>
        </w:rPr>
      </w:r>
      <w:r>
        <w:rPr>
          <w:u w:val="none"/>
          <w:sz w:val="26"/>
          <w:rFonts w:ascii="Times New Roman" w:hAnsi="Times New Roman" w:cs="Times New Roman" w:eastAsia="Times New Roman"/>
        </w:rPr>
        <w:rPr>
          <w:shd w:fill="FFFFFF"/>
        </w:rPr>
        <w:t/>
      </w:r>
      <w:r>
        <w:rPr>
          <w:u w:val="none"/>
          <w:sz w:val="26"/>
          <w:rFonts w:ascii="Times New Roman" w:hAnsi="Times New Roman" w:cs="Times New Roman" w:eastAsia="Times New Roman"/>
        </w:rPr>
        <w:t/>
      </w:r>
    </w:p>
    <w:p>
      <w:pPr>
        <w:spacing w:before="0" w:after="0"/>
      </w:pPr>
      <w:r>
        <w:rPr/>
      </w:r>
      <w:r>
        <w:rPr>
          <w:u w:val="none"/>
        </w:rPr>
      </w:r>
      <w:r>
        <w:rPr>
          <w:u w:val="none"/>
          <w:sz w:val="26"/>
          <w:rFonts w:ascii="Times New Roman" w:hAnsi="Times New Roman" w:cs="Times New Roman" w:eastAsia="Times New Roman"/>
        </w:rPr>
        <w:t/>
      </w:r>
      <w:r>
        <w:rPr>
          <w:u w:val="none"/>
          <w:sz w:val="26"/>
          <w:rFonts w:ascii="Times New Roman" w:hAnsi="Times New Roman" w:cs="Times New Roman" w:eastAsia="Times New Roman"/>
        </w:rPr>
        <w:t/>
      </w:r>
    </w:p>
    <w:p>
      <w:pPr>
        <w:spacing w:before="0" w:after="0"/>
      </w:pPr>
      <w:r>
        <w:rPr/>
      </w:r>
      <w:r>
        <w:rPr>
          <w:u w:val="none"/>
        </w:rPr>
      </w:r>
      <w:r>
        <w:rPr>
          <w:u w:val="none"/>
          <w:sz w:val="26"/>
          <w:rFonts w:ascii="Times New Roman" w:hAnsi="Times New Roman" w:cs="Times New Roman" w:eastAsia="Times New Roman"/>
        </w:rPr>
        <w:t/>
      </w:r>
      <w:r>
        <w:rPr>
          <w:u w:val="none"/>
          <w:sz w:val="32"/>
          <w:rFonts w:ascii="Times New Roman" w:hAnsi="Times New Roman" w:cs="Times New Roman" w:eastAsia="Times New Roman"/>
        </w:rPr>
        <w:rPr>
          <w:shd w:fill="FFFFFF"/>
        </w:rPr>
        <w:t>всего</w:t>
      </w:r>
      <w:r>
        <w:rPr>
          <w:u w:val="none"/>
          <w:sz w:val="32"/>
          <w:rFonts w:ascii="Times New Roman" w:hAnsi="Times New Roman" w:cs="Times New Roman" w:eastAsia="Times New Roman"/>
        </w:rPr>
        <w:rPr>
          <w:shd w:fill="FFFFFF"/>
        </w:rPr>
        <w:t>4 876,32</w:t>
      </w:r>
      <w:r>
        <w:rPr>
          <w:u w:val="none"/>
          <w:sz w:val="26"/>
          <w:rFonts w:ascii="Times New Roman" w:hAnsi="Times New Roman" w:cs="Times New Roman" w:eastAsia="Times New Roman"/>
        </w:rPr>
        <w:rPr>
          <w:shd w:fill="FFFFFF"/>
        </w:rPr>
        <w:t/>
      </w:r>
    </w:p>
    <w:p>
      <w:pPr>
        <w:spacing w:before="0" w:after="0"/>
      </w:pPr>
      <w:r>
        <w:rPr/>
      </w:r>
      <w:r>
        <w:rPr>
          <w:u w:val="none"/>
        </w:rPr>
      </w:r>
      <w:r>
        <w:rPr>
          <w:u w:val="none"/>
          <w:sz w:val="26"/>
          <w:rFonts w:ascii="Times New Roman" w:hAnsi="Times New Roman" w:cs="Times New Roman" w:eastAsia="Times New Roman"/>
        </w:rPr>
        <w:rPr>
          <w:shd w:fill="FFFFFF"/>
        </w:rPr>
        <w:t/>
      </w:r>
    </w:p>
    <w:p>
      <w:pPr>
        <w:spacing w:before="0" w:after="0"/>
      </w:pPr>
      <w:r>
        <w:rPr/>
      </w:r>
      <w:r>
        <w:rPr>
          <w:u w:val="none"/>
        </w:rPr>
      </w:r>
      <w:r>
        <w:rPr>
          <w:u w:val="none"/>
          <w:sz w:val="24"/>
        </w:rPr>
        <w:t/>
      </w:r>
    </w:p>
    <w:p>
      <w:pPr>
        <w:spacing w:before="0" w:after="0"/>
        <w:ind w:firstLine="709"/>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В течение отчетного периода осуществлялись операции по межбюджетным передачам финансовых активов по счету 205 51 661 на сумму 3 690 521,99 руб.</w:t>
      </w:r>
    </w:p>
    <w:p>
      <w:pPr>
        <w:spacing w:before="0" w:after="0"/>
      </w:pPr>
      <w:r>
        <w:rPr/>
      </w:r>
      <w:r>
        <w:rPr>
          <w:u w:val="none"/>
        </w:rPr>
      </w:r>
      <w:r>
        <w:rPr>
          <w:u w:val="none"/>
          <w:sz w:val="24"/>
        </w:rPr>
        <w:t/>
      </w:r>
    </w:p>
    <w:tbl>
      <w:tblPr>
        <w:tblW w:w="10711" w:type="dxa"/>
        <w:tblBorders>
          <w:top w:val="single" w:sz="8"/>
          <w:left w:val="single" w:sz="8"/>
          <w:bottom w:val="single" w:sz="8"/>
          <w:right w:val="single" w:sz="8"/>
          <w:insideH w:val="single" w:sz="8"/>
          <w:insideV w:val="single" w:sz="8"/>
        </w:tblBorders>
        <w:tblLayout w:type="fixed"/>
      </w:tblPr>
      <w:tblGrid>
        <w:gridCol w:w="2677"/>
        <w:gridCol w:w="2677"/>
        <w:gridCol w:w="2677"/>
        <w:gridCol w:w="2677"/>
      </w:tblGrid>
      <w:tr>
        <w:trPr>
          <w:tblHeader/>
        </w:trPr>
        <w:tc>
          <w:tcPr>
            <w:tcW w:type="dxa" w:w="2677"/>
          </w:tcPr>
          <w:p>
            <w:pPr>
              <w:spacing w:before="0" w:after="0" w:lineRule="auto" w:line="240"/>
              <w:ind w:right="0" w:left="0" w:firstLine="283"/>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 п/п</w:t>
            </w:r>
          </w:p>
        </w:tc>
        <w:tc>
          <w:tcPr>
            <w:tcW w:type="dxa" w:w="2677"/>
          </w:tcPr>
          <w:p>
            <w:pPr>
              <w:spacing w:before="0" w:after="0" w:lineRule="auto" w:line="240"/>
              <w:ind w:right="0" w:left="0" w:firstLine="283"/>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Наименование передающего контрагента</w:t>
            </w:r>
          </w:p>
        </w:tc>
        <w:tc>
          <w:tcPr>
            <w:tcW w:type="dxa" w:w="2677"/>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Описание принятого имущества/</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средств</w:t>
            </w:r>
          </w:p>
        </w:tc>
        <w:tc>
          <w:tcPr>
            <w:tcW w:type="dxa" w:w="2677"/>
          </w:tcPr>
          <w:p>
            <w:pPr>
              <w:spacing w:before="0" w:after="0" w:lineRule="auto" w:line="240"/>
              <w:ind w:right="0" w:left="0" w:firstLine="283"/>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Сумма, руб.</w:t>
            </w:r>
          </w:p>
        </w:tc>
      </w:tr>
      <w:tr>
        <w:tc>
          <w:tcPr>
            <w:tcW w:type="dxa" w:w="2677"/>
          </w:tcPr>
          <w:p>
            <w:pPr>
              <w:spacing w:before="0" w:after="0" w:lineRule="auto" w:line="240"/>
              <w:ind w:right="0" w:left="0" w:firstLine="283"/>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1</w:t>
            </w:r>
            <w:r>
              <w:rPr>
                <w:sz w:val="32"/>
                <w:rFonts w:ascii="Times New Roman" w:hAnsi="Times New Roman" w:cs="Times New Roman" w:eastAsia="Times New Roman"/>
                <w:u w:val="none"/>
                <w:b w:val="on"/>
              </w:rPr>
              <w:rPr>
                <w:shd w:fill="FFFFFF"/>
              </w:rPr>
              <w:t>.</w:t>
            </w:r>
          </w:p>
        </w:tc>
        <w:tc>
          <w:tcPr>
            <w:tcW w:type="dxa" w:w="2677"/>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Министерство сельского хозяйства, торговли, пищевой и перерабатывающей промышленности Оренбургской области</w:t>
            </w:r>
          </w:p>
        </w:tc>
        <w:tc>
          <w:tcPr>
            <w:tcW w:type="dxa" w:w="2677"/>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Субсидия на софинансирование расходных обязательств, возникающих при выполнении полномочий по созданию условий для развития сельскохозяйственного производства, расширения рынка сельскохозяйственной продукции, сырья и продовольствия согласно соглашению от 13.01.2025 № 842-201-2025-00003</w:t>
            </w:r>
          </w:p>
        </w:tc>
        <w:tc>
          <w:tcPr>
            <w:tcW w:type="dxa" w:w="2677"/>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3 690 521,99</w:t>
            </w:r>
          </w:p>
        </w:tc>
      </w:tr>
    </w:tbl>
    <w:p>
      <w:pPr>
        <w:spacing w:before="0" w:after="0"/>
      </w:pPr>
      <w:r>
        <w:rPr/>
      </w:r>
      <w:r>
        <w:rPr>
          <w:u w:val="none"/>
        </w:rPr>
      </w:r>
      <w:r>
        <w:rPr>
          <w:u w:val="none"/>
          <w:sz w:val="24"/>
        </w:rPr>
        <w:t/>
      </w:r>
    </w:p>
    <w:p>
      <w:pPr>
        <w:spacing w:before="0" w:after="0"/>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         Расшифровка отраженных показателей в </w:t>
      </w:r>
      <w:r>
        <w:rPr>
          <w:sz w:val="38"/>
          <w:rFonts w:ascii="Times New Roman" w:hAnsi="Times New Roman" w:cs="Times New Roman" w:eastAsia="Times New Roman"/>
          <w:u w:val="none"/>
          <w:strike w:val="off"/>
        </w:rPr>
        <w:t>форме 0503128</w:t>
      </w:r>
      <w:r>
        <w:rPr>
          <w:sz w:val="38"/>
          <w:rFonts w:ascii="Times New Roman" w:hAnsi="Times New Roman" w:cs="Times New Roman" w:eastAsia="Times New Roman"/>
          <w:u w:val="none"/>
        </w:rPr>
        <w:t> по строке 860 по отложенным обязательствам 0 502 99 000. Всего на сумму 1152706,42 руб.:</w:t>
      </w:r>
    </w:p>
    <w:p>
      <w:pPr>
        <w:spacing w:before="0" w:after="0"/>
        <w:ind w:firstLine="709"/>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по КОСГУ 211 «Резерв предстоящих расходов на заработную плату» 843092,50 руб., количество неиспользованных календарных дней отпуска 317,84;</w:t>
      </w:r>
    </w:p>
    <w:p>
      <w:pPr>
        <w:spacing w:before="0" w:after="0"/>
        <w:ind w:firstLine="720"/>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по КОСГУ 213 «Резерв предстоящих расходов на начисления на выплаты по оплате труда» 577681,88 руб. </w:t>
      </w:r>
    </w:p>
    <w:p>
      <w:pPr>
        <w:spacing w:before="0" w:after="0"/>
        <w:ind w:firstLine="720"/>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по КОСГУ 296 «Иные выплаты текущего характера физическим лицам» 20000,00 руб. резерв по иску, предъявленному Комитету. </w:t>
      </w:r>
    </w:p>
    <w:p>
      <w:pPr>
        <w:spacing w:before="0" w:after="0"/>
        <w:ind w:firstLine="720"/>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по КОСГУ 297 «Иные выплаты текущего характера организациям» 35000,00 руб. резерв по иску, предъявленному Комитету. </w:t>
      </w:r>
    </w:p>
    <w:p>
      <w:pPr>
        <w:spacing w:before="0" w:after="0"/>
      </w:pPr>
      <w:r>
        <w:rPr/>
      </w:r>
      <w:r>
        <w:rPr>
          <w:u w:val="none"/>
        </w:rPr>
      </w:r>
      <w:r>
        <w:rPr>
          <w:u w:val="none"/>
          <w:sz w:val="24"/>
        </w:rPr>
        <w:t/>
      </w:r>
    </w:p>
    <w:p>
      <w:pPr>
        <w:spacing w:before="0" w:after="0"/>
        <w:ind w:firstLine="709"/>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 xml:space="preserve">Форма 0503130 </w:t>
      </w:r>
      <w:r>
        <w:rPr>
          <w:sz w:val="38"/>
          <w:rFonts w:ascii="Times New Roman" w:hAnsi="Times New Roman" w:cs="Times New Roman" w:eastAsia="Times New Roman"/>
          <w:u w:val="none"/>
          <w:color w:val="000000"/>
        </w:rPr>
        <w:t>«Баланс ГРБС». </w:t>
      </w:r>
      <w:r>
        <w:rPr>
          <w:sz w:val="38"/>
          <w:rFonts w:ascii="Times New Roman" w:hAnsi="Times New Roman" w:cs="Times New Roman" w:eastAsia="Times New Roman"/>
          <w:u w:val="none"/>
        </w:rPr>
        <w:t>В отчетном периоде в Комитете проведено два заседания комиссии, связанные с признанием безнадежной или сомнительной к взысканию задолженности по платежам в бюджет города Оренбурга.</w:t>
      </w:r>
    </w:p>
    <w:p>
      <w:pPr>
        <w:spacing w:before="0" w:after="0"/>
        <w:ind w:firstLine="709"/>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По результатам заседаний комиссией приняты решения о спи</w:t>
      </w:r>
      <w:r>
        <w:rPr>
          <w:sz w:val="38"/>
          <w:rFonts w:ascii="Times New Roman" w:hAnsi="Times New Roman" w:cs="Times New Roman" w:eastAsia="Times New Roman"/>
          <w:u w:val="none"/>
          <w:color w:val="000000"/>
        </w:rPr>
        <w:t>сании безнадежной к взысканию задолженности по платежам в бюджет на сумму 220199,33 руб. со счета 04 «Сомнительная задолженность», со счета 205.29 «Расчеты по иным доходам от собственности» на сумму 137730,95 руб, по счету 209.41 «Расчеты по доходам от штрафных санкций за нарушение условий контрактов (договоров)» на сумму 2547,32. </w:t>
      </w:r>
    </w:p>
    <w:p>
      <w:pPr>
        <w:spacing w:before="0" w:after="0"/>
        <w:ind w:firstLine="709"/>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Также принято решение о признании задолженности сомнительной в сумме 4315169,28 руб. и списании с баланса с созданием резерва на счете 04 «Сомнительная задолженность». </w:t>
      </w:r>
    </w:p>
    <w:p>
      <w:pPr>
        <w:spacing w:before="0" w:after="0"/>
        <w:ind w:firstLine="709"/>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Восстановлена на балансе сомнительная задолженность со счета 04 в сумме 368393,73 руб. в связи с поступлением денежных средств в счет уплаты долга.</w:t>
      </w:r>
    </w:p>
    <w:p>
      <w:pPr>
        <w:spacing w:before="0" w:after="0"/>
      </w:pPr>
      <w:r>
        <w:rPr/>
      </w:r>
      <w:r>
        <w:rPr>
          <w:u w:val="none"/>
        </w:rPr>
      </w:r>
      <w:r>
        <w:rPr>
          <w:u w:val="none"/>
          <w:sz w:val="24"/>
        </w:rPr>
        <w:t/>
      </w:r>
    </w:p>
    <w:p>
      <w:pPr>
        <w:spacing w:before="0" w:after="0"/>
        <w:jc w:val="center"/>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Анализ показателей сомнительной задолженности (забалансовый счет 04  форма 0503130)</w:t>
      </w:r>
    </w:p>
    <w:p>
      <w:pPr>
        <w:spacing w:before="0" w:after="0"/>
        <w:jc w:val="center"/>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 на 01.01.2026 </w:t>
      </w:r>
    </w:p>
    <w:tbl>
      <w:tblPr>
        <w:tblW w:w="10711" w:type="dxa"/>
        <w:tblBorders>
          <w:top w:val="single" w:sz="8"/>
          <w:left w:val="single" w:sz="8"/>
          <w:bottom w:val="single" w:sz="8"/>
          <w:right w:val="single" w:sz="8"/>
          <w:insideH w:val="single" w:sz="8"/>
          <w:insideV w:val="single" w:sz="8"/>
        </w:tblBorders>
        <w:tblLayout w:type="fixed"/>
      </w:tblPr>
      <w:tblGrid>
        <w:gridCol w:w="1071"/>
        <w:gridCol w:w="1071"/>
        <w:gridCol w:w="1071"/>
        <w:gridCol w:w="1071"/>
        <w:gridCol w:w="1071"/>
        <w:gridCol w:w="1071"/>
        <w:gridCol w:w="1071"/>
        <w:gridCol w:w="1071"/>
        <w:gridCol w:w="1071"/>
        <w:gridCol w:w="1071"/>
      </w:tblGrid>
      <w:tr>
        <w:trPr>
          <w:tblHeader/>
        </w:trPr>
        <w:tc>
          <w:tcPr>
            <w:tcW w:type="dxa" w:w="3213"/>
            <w:gridSpan w:val="3"/>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Сумма показателя сомнительной задолженности</w:t>
            </w:r>
          </w:p>
        </w:tc>
        <w:tc>
          <w:tcPr>
            <w:tcW w:type="dxa" w:w="6426"/>
            <w:gridSpan w:val="6"/>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Изменение показателя сомнительной задолженности</w:t>
            </w:r>
          </w:p>
        </w:tc>
        <w:tc>
          <w:tcPr>
            <w:tcW w:type="dxa" w:w="1071"/>
            <w:vMerge w:val="restart"/>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Сумма показателя сомнительной задолженности на конец отчетного периода, руб. </w:t>
            </w:r>
          </w:p>
        </w:tc>
      </w:tr>
      <w:tr>
        <w:tc>
          <w:tcPr>
            <w:tcW w:type="dxa" w:w="1071"/>
            <w:vMerge w:val="restart"/>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на конец предыдущего отчетного периода, руб.</w:t>
            </w:r>
          </w:p>
        </w:tc>
        <w:tc>
          <w:tcPr>
            <w:tcW w:type="dxa" w:w="1071"/>
            <w:vMerge w:val="restart"/>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на начало отчетного периода, руб.</w:t>
            </w:r>
          </w:p>
        </w:tc>
        <w:tc>
          <w:tcPr>
            <w:tcW w:type="dxa" w:w="1071"/>
            <w:vMerge w:val="restart"/>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причина расхождения</w:t>
            </w:r>
          </w:p>
        </w:tc>
        <w:tc>
          <w:tcPr>
            <w:tcW w:type="dxa" w:w="1071"/>
            <w:vMerge w:val="restart"/>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увеличение,</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руб.</w:t>
            </w:r>
          </w:p>
        </w:tc>
        <w:tc>
          <w:tcPr>
            <w:tcW w:type="dxa" w:w="1071"/>
            <w:vMerge w:val="restart"/>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уменьшение, руб.</w:t>
            </w:r>
          </w:p>
        </w:tc>
        <w:tc>
          <w:tcPr>
            <w:tcW w:type="dxa" w:w="4284"/>
            <w:gridSpan w:val="4"/>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в том числе причина уменьшения</w:t>
            </w:r>
          </w:p>
        </w:tc>
        <w:tc>
          <w:tcPr>
            <w:tcW w:type="dxa" w:w="1071"/>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r>
      <w:tr>
        <w:tc>
          <w:tcPr>
            <w:tcW w:type="dxa" w:w="1071"/>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1071"/>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1071"/>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1071"/>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1071"/>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1071"/>
            <w:vMerge w:val="restart"/>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списание в соответствии со ст. 47,2 БК РФ, руб.</w:t>
            </w:r>
          </w:p>
        </w:tc>
        <w:tc>
          <w:tcPr>
            <w:tcW w:type="dxa" w:w="1071"/>
            <w:vMerge w:val="restart"/>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восстановление на балансовый счет, руб.</w:t>
            </w:r>
          </w:p>
        </w:tc>
        <w:tc>
          <w:tcPr>
            <w:tcW w:type="dxa" w:w="2142"/>
            <w:gridSpan w:val="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иная причина   </w:t>
            </w:r>
          </w:p>
        </w:tc>
        <w:tc>
          <w:tcPr>
            <w:tcW w:type="dxa" w:w="1071"/>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r>
      <w:tr>
        <w:tc>
          <w:tcPr>
            <w:tcW w:type="dxa" w:w="1071"/>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1071"/>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1071"/>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1071"/>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1071"/>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1071"/>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1071"/>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1071"/>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Сумма, руб.</w:t>
            </w:r>
          </w:p>
        </w:tc>
        <w:tc>
          <w:tcPr>
            <w:tcW w:type="dxa" w:w="1071"/>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описание причины</w:t>
            </w:r>
          </w:p>
        </w:tc>
        <w:tc>
          <w:tcPr>
            <w:tcW w:type="dxa" w:w="1071"/>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r>
      <w:tr>
        <w:tc>
          <w:tcPr>
            <w:tcW w:type="dxa" w:w="1071"/>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1</w:t>
            </w:r>
          </w:p>
        </w:tc>
        <w:tc>
          <w:tcPr>
            <w:tcW w:type="dxa" w:w="1071"/>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2</w:t>
            </w:r>
          </w:p>
        </w:tc>
        <w:tc>
          <w:tcPr>
            <w:tcW w:type="dxa" w:w="1071"/>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3</w:t>
            </w:r>
          </w:p>
        </w:tc>
        <w:tc>
          <w:tcPr>
            <w:tcW w:type="dxa" w:w="1071"/>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4</w:t>
            </w:r>
          </w:p>
        </w:tc>
        <w:tc>
          <w:tcPr>
            <w:tcW w:type="dxa" w:w="1071"/>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5</w:t>
            </w:r>
          </w:p>
        </w:tc>
        <w:tc>
          <w:tcPr>
            <w:tcW w:type="dxa" w:w="1071"/>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6</w:t>
            </w:r>
          </w:p>
        </w:tc>
        <w:tc>
          <w:tcPr>
            <w:tcW w:type="dxa" w:w="1071"/>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7</w:t>
            </w:r>
          </w:p>
        </w:tc>
        <w:tc>
          <w:tcPr>
            <w:tcW w:type="dxa" w:w="1071"/>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8</w:t>
            </w:r>
          </w:p>
        </w:tc>
        <w:tc>
          <w:tcPr>
            <w:tcW w:type="dxa" w:w="1071"/>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9</w:t>
            </w:r>
          </w:p>
        </w:tc>
        <w:tc>
          <w:tcPr>
            <w:tcW w:type="dxa" w:w="1071"/>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10</w:t>
            </w:r>
          </w:p>
        </w:tc>
      </w:tr>
      <w:tr>
        <w:tc>
          <w:tcPr>
            <w:tcW w:type="dxa" w:w="1071"/>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1221352,76</w:t>
            </w:r>
          </w:p>
        </w:tc>
        <w:tc>
          <w:tcPr>
            <w:tcW w:type="dxa" w:w="1071"/>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1222616,69</w:t>
            </w:r>
          </w:p>
        </w:tc>
        <w:tc>
          <w:tcPr>
            <w:tcW w:type="dxa" w:w="1071"/>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03.1</w:t>
            </w:r>
          </w:p>
        </w:tc>
        <w:tc>
          <w:tcPr>
            <w:tcW w:type="dxa" w:w="1071"/>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3688884,72</w:t>
            </w:r>
          </w:p>
        </w:tc>
        <w:tc>
          <w:tcPr>
            <w:tcW w:type="dxa" w:w="1071"/>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596332,13</w:t>
            </w:r>
          </w:p>
        </w:tc>
        <w:tc>
          <w:tcPr>
            <w:tcW w:type="dxa" w:w="1071"/>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220199,33</w:t>
            </w:r>
          </w:p>
        </w:tc>
        <w:tc>
          <w:tcPr>
            <w:tcW w:type="dxa" w:w="1071"/>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368393,76</w:t>
            </w:r>
          </w:p>
        </w:tc>
        <w:tc>
          <w:tcPr>
            <w:tcW w:type="dxa" w:w="1071"/>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7739,04</w:t>
            </w:r>
          </w:p>
        </w:tc>
        <w:tc>
          <w:tcPr>
            <w:tcW w:type="dxa" w:w="1071"/>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Корректировка начислений </w:t>
            </w:r>
          </w:p>
        </w:tc>
        <w:tc>
          <w:tcPr>
            <w:tcW w:type="dxa" w:w="1071"/>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4315169,28</w:t>
            </w:r>
          </w:p>
        </w:tc>
      </w:tr>
      <w:tr>
        <w:tc>
          <w:tcPr>
            <w:tcW w:type="dxa" w:w="1071"/>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Итого</w:t>
            </w:r>
          </w:p>
        </w:tc>
        <w:tc>
          <w:tcPr>
            <w:tcW w:type="dxa" w:w="1071"/>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1222616,69</w:t>
            </w:r>
          </w:p>
        </w:tc>
        <w:tc>
          <w:tcPr>
            <w:tcW w:type="dxa" w:w="1071"/>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c>
          <w:tcPr>
            <w:tcW w:type="dxa" w:w="1071"/>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3688884,72</w:t>
            </w:r>
          </w:p>
        </w:tc>
        <w:tc>
          <w:tcPr>
            <w:tcW w:type="dxa" w:w="1071"/>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596332,13</w:t>
            </w:r>
          </w:p>
        </w:tc>
        <w:tc>
          <w:tcPr>
            <w:tcW w:type="dxa" w:w="1071"/>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220199,33</w:t>
            </w:r>
          </w:p>
        </w:tc>
        <w:tc>
          <w:tcPr>
            <w:tcW w:type="dxa" w:w="1071"/>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368393,76</w:t>
            </w:r>
          </w:p>
        </w:tc>
        <w:tc>
          <w:tcPr>
            <w:tcW w:type="dxa" w:w="1071"/>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7739,04</w:t>
            </w:r>
          </w:p>
        </w:tc>
        <w:tc>
          <w:tcPr>
            <w:tcW w:type="dxa" w:w="1071"/>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c>
          <w:tcPr>
            <w:tcW w:type="dxa" w:w="1071"/>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2"/>
                <w:rFonts w:ascii="Times New Roman" w:hAnsi="Times New Roman" w:cs="Times New Roman" w:eastAsia="Times New Roman"/>
                <w:u w:val="none"/>
              </w:rPr>
              <w:t>4315169,28</w:t>
            </w:r>
          </w:p>
        </w:tc>
      </w:tr>
    </w:tbl>
    <w:p>
      <w:pPr>
        <w:spacing w:before="0" w:after="0"/>
      </w:pPr>
      <w:r>
        <w:rPr/>
      </w:r>
      <w:r>
        <w:rPr>
          <w:u w:val="none"/>
        </w:rPr>
      </w:r>
      <w:r>
        <w:rPr>
          <w:u w:val="none"/>
          <w:sz w:val="24"/>
        </w:rPr>
        <w:t/>
      </w:r>
    </w:p>
    <w:p>
      <w:pPr>
        <w:spacing w:before="0" w:after="0"/>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         Проведено два заседания комиссии по поступлению и выбытию активов Комитета по списанию задолженности, невостребованной кредиторами, по которой истек срок исковой давности, а также</w:t>
      </w:r>
      <w:r>
        <w:rPr>
          <w:sz w:val="26"/>
          <w:rFonts w:ascii="Times New Roman" w:hAnsi="Times New Roman" w:cs="Times New Roman" w:eastAsia="Times New Roman"/>
          <w:u w:val="none"/>
        </w:rPr>
        <w:t xml:space="preserve"> </w:t>
      </w:r>
      <w:r>
        <w:rPr>
          <w:sz w:val="38"/>
          <w:rFonts w:ascii="Times New Roman" w:hAnsi="Times New Roman" w:cs="Times New Roman" w:eastAsia="Times New Roman"/>
          <w:u w:val="none"/>
          <w:color w:val="000000"/>
        </w:rPr>
        <w:t>согласно статье 40.1 Бюджетного кодекса РФ заявление о возврате излишне уплаченного платежа в бюджет может быть подано плательщиком в течение трех лет со дня уплаты такого платежа, если иное не предусмотрено законодательными актами Российской Федерации. В результате со счета 20 «Задолженность, невостребованная кредиторами» списана кредиторская задолженность по доходам на сумму 13885,91 руб.   По таким же основаниям списана кредиторская задолженность по доходам со счета 205.12 «Расчеты с плательщиками государственных пошлин, сборов» на сумму 170000,00 руб., со счета 205.29 «Расчеты по иным доходам от собственности» на сумму 166749,90 руб. списана кредиторская задолженность без дальнейшего наблюдения, на сумму 557739,60 руб. списана с последующим наблюдением на 20 «Задолженность, невостребованная кредиторами». Со счета 209.34 «Расчеты по доходам от компенсации затрат» на сумму – 12525,93 руб.; 209.41 «Расчеты по доходам от штрафных санкций за нарушение условий контрактов (договоров)» на сумму 8425,75 руб. списана кредиторская задолженность с последующим наблюдением на 20 «Задолженность, невостребованная кредиторами».</w:t>
      </w:r>
    </w:p>
    <w:p>
      <w:pPr>
        <w:spacing w:before="0" w:after="0"/>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         По заявлению от контрагента восстановлена на балансе кредиторская задолженность в сумме 54000,00 руб. Скорректирована кредиторская задолженность в счет погашения дебиторской задолженности.</w:t>
      </w:r>
    </w:p>
    <w:p>
      <w:pPr>
        <w:spacing w:before="0" w:after="0"/>
      </w:pPr>
      <w:r>
        <w:rPr/>
      </w:r>
      <w:r>
        <w:rPr>
          <w:u w:val="none"/>
        </w:rPr>
      </w:r>
      <w:r>
        <w:rPr>
          <w:u w:val="none"/>
          <w:sz w:val="24"/>
        </w:rPr>
        <w:t/>
      </w:r>
    </w:p>
    <w:p>
      <w:pPr>
        <w:spacing w:before="0" w:after="0"/>
        <w:ind w:firstLine="720"/>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Форма 0503168 «Сведения о движении нефинансовых активов». </w:t>
      </w:r>
    </w:p>
    <w:p>
      <w:pPr>
        <w:spacing w:before="0" w:after="0"/>
        <w:ind w:firstLine="709"/>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В течение отчетного периода по Комитету отражались изменения нефинансовых активов, находящихся в собственности муниципального образования «город Оренбург».</w:t>
      </w:r>
    </w:p>
    <w:p>
      <w:pPr>
        <w:spacing w:before="0" w:after="0"/>
        <w:ind w:firstLine="709"/>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По состоянию на 01.01.2026 балансовая стоимость основных средств составила 2 302 236,91 руб., в том числе:</w:t>
      </w:r>
    </w:p>
    <w:p>
      <w:pPr>
        <w:spacing w:before="0" w:after="0"/>
        <w:ind w:firstLine="709"/>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машины и оборудование – 1 814 617,92 руб.,</w:t>
      </w:r>
    </w:p>
    <w:p>
      <w:pPr>
        <w:spacing w:before="0" w:after="0"/>
        <w:ind w:firstLine="709"/>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инвентарь производственный и хозяйственный – 487 618,99 руб.</w:t>
      </w:r>
    </w:p>
    <w:p>
      <w:pPr>
        <w:spacing w:before="0" w:after="0"/>
        <w:ind w:firstLine="709"/>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Поступление основных средств за отчетный период составило – 260 876,32 руб., в том числе:</w:t>
      </w:r>
    </w:p>
    <w:p>
      <w:pPr>
        <w:spacing w:before="0" w:after="0"/>
        <w:ind w:firstLine="709"/>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по счету 1 101 34 – приобретено на сумму 256 000,00 руб.:</w:t>
      </w:r>
    </w:p>
    <w:p>
      <w:pPr>
        <w:spacing w:before="0" w:after="0"/>
      </w:pPr>
      <w:r>
        <w:rPr/>
      </w:r>
      <w:r>
        <w:rPr>
          <w:u w:val="none"/>
        </w:rPr>
      </w:r>
      <w:r>
        <w:rPr>
          <w:u w:val="none"/>
          <w:sz w:val="24"/>
        </w:rPr>
        <w:t/>
      </w:r>
    </w:p>
    <w:tbl>
      <w:tblPr>
        <w:tblW w:w="10711" w:type="dxa"/>
        <w:tblBorders>
          <w:top w:val="single" w:sz="8"/>
          <w:left w:val="single" w:sz="8"/>
          <w:bottom w:val="single" w:sz="8"/>
          <w:right w:val="single" w:sz="8"/>
          <w:insideH w:val="single" w:sz="8"/>
          <w:insideV w:val="single" w:sz="8"/>
        </w:tblBorders>
        <w:tblLayout w:type="fixed"/>
      </w:tblPr>
      <w:tblGrid>
        <w:gridCol w:w="5355"/>
        <w:gridCol w:w="5355"/>
      </w:tblGrid>
      <w:tr>
        <w:trPr>
          <w:tblHeader/>
        </w:trPr>
        <w:tc>
          <w:tcPr>
            <w:tcW w:type="dxa" w:w="5355"/>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Наименование ОС</w:t>
            </w:r>
          </w:p>
        </w:tc>
        <w:tc>
          <w:tcPr>
            <w:tcW w:type="dxa" w:w="5355"/>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Сумма, руб.</w:t>
            </w:r>
          </w:p>
        </w:tc>
      </w:tr>
      <w:tr>
        <w:tc>
          <w:tcPr>
            <w:tcW w:type="dxa" w:w="5355"/>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Системный блок в сборе Процессор AMD Ryzen 5 5600 3.7Ghz, 3 шт.</w:t>
            </w:r>
          </w:p>
        </w:tc>
        <w:tc>
          <w:tcPr>
            <w:tcW w:type="dxa" w:w="5355"/>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90 000,00</w:t>
            </w:r>
          </w:p>
        </w:tc>
      </w:tr>
      <w:tr>
        <w:tc>
          <w:tcPr>
            <w:tcW w:type="dxa" w:w="5355"/>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Монитор 23.8, 5 шт.</w:t>
            </w:r>
          </w:p>
        </w:tc>
        <w:tc>
          <w:tcPr>
            <w:tcW w:type="dxa" w:w="5355"/>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35 000,00</w:t>
            </w:r>
          </w:p>
        </w:tc>
      </w:tr>
      <w:tr>
        <w:tc>
          <w:tcPr>
            <w:tcW w:type="dxa" w:w="5355"/>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МФУ Canon i- SENSYS MF- 275dw, 5 шт.</w:t>
            </w:r>
          </w:p>
        </w:tc>
        <w:tc>
          <w:tcPr>
            <w:tcW w:type="dxa" w:w="5355"/>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125 000,00</w:t>
            </w:r>
          </w:p>
        </w:tc>
      </w:tr>
      <w:tr>
        <w:tc>
          <w:tcPr>
            <w:tcW w:type="dxa" w:w="5355"/>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Шредер для бумаги ProMega offce OS808-10C, 1 шт.</w:t>
            </w:r>
          </w:p>
        </w:tc>
        <w:tc>
          <w:tcPr>
            <w:tcW w:type="dxa" w:w="5355"/>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6 000,00</w:t>
            </w:r>
          </w:p>
        </w:tc>
      </w:tr>
      <w:tr>
        <w:tc>
          <w:tcPr>
            <w:tcW w:type="dxa" w:w="5355"/>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b w:val="on"/>
              </w:rPr>
              <w:t>ИТОГО</w:t>
            </w:r>
          </w:p>
        </w:tc>
        <w:tc>
          <w:tcPr>
            <w:tcW w:type="dxa" w:w="5355"/>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b w:val="on"/>
              </w:rPr>
              <w:t>256 000,00</w:t>
            </w:r>
          </w:p>
        </w:tc>
      </w:tr>
    </w:tbl>
    <w:p>
      <w:pPr>
        <w:spacing w:before="0" w:after="0"/>
        <w:ind w:firstLine="709"/>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по счету 1 101 36 – восстановление на балансе в сумме 4 76,32 руб. для безвозмездной передаче (Распоряжение департамента имущественных и жилищных отношений администрации города Оренбурга от 30.01.2025 № 35 для АЮО): </w:t>
      </w:r>
    </w:p>
    <w:p>
      <w:pPr>
        <w:spacing w:before="0" w:after="0"/>
      </w:pPr>
      <w:r>
        <w:rPr/>
      </w:r>
      <w:r>
        <w:rPr>
          <w:u w:val="none"/>
        </w:rPr>
      </w:r>
      <w:r>
        <w:rPr>
          <w:u w:val="none"/>
          <w:sz w:val="24"/>
        </w:rPr>
        <w:t/>
      </w:r>
    </w:p>
    <w:tbl>
      <w:tblPr>
        <w:tblW w:w="10711" w:type="dxa"/>
        <w:tblBorders>
          <w:top w:val="single" w:sz="8"/>
          <w:left w:val="single" w:sz="8"/>
          <w:bottom w:val="single" w:sz="8"/>
          <w:right w:val="single" w:sz="8"/>
          <w:insideH w:val="single" w:sz="8"/>
          <w:insideV w:val="single" w:sz="8"/>
        </w:tblBorders>
        <w:tblLayout w:type="fixed"/>
      </w:tblPr>
      <w:tblGrid>
        <w:gridCol w:w="5355"/>
        <w:gridCol w:w="5355"/>
      </w:tblGrid>
      <w:tr>
        <w:trPr>
          <w:tblHeader/>
        </w:trPr>
        <w:tc>
          <w:tcPr>
            <w:tcW w:type="dxa" w:w="5355"/>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Наименование ОС</w:t>
            </w:r>
          </w:p>
        </w:tc>
        <w:tc>
          <w:tcPr>
            <w:tcW w:type="dxa" w:w="5355"/>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Сумма, руб.</w:t>
            </w:r>
          </w:p>
        </w:tc>
      </w:tr>
      <w:tr>
        <w:tc>
          <w:tcPr>
            <w:tcW w:type="dxa" w:w="5355"/>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Интер орех Стол 7008, 1 шт.</w:t>
            </w:r>
          </w:p>
        </w:tc>
        <w:tc>
          <w:tcPr>
            <w:tcW w:type="dxa" w:w="5355"/>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2 876,76</w:t>
            </w:r>
          </w:p>
        </w:tc>
      </w:tr>
      <w:tr>
        <w:tc>
          <w:tcPr>
            <w:tcW w:type="dxa" w:w="5355"/>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Стол письменный (02), 1 шт.</w:t>
            </w:r>
          </w:p>
        </w:tc>
        <w:tc>
          <w:tcPr>
            <w:tcW w:type="dxa" w:w="5355"/>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1 999,56</w:t>
            </w:r>
          </w:p>
        </w:tc>
      </w:tr>
      <w:tr>
        <w:tc>
          <w:tcPr>
            <w:tcW w:type="dxa" w:w="5355"/>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b w:val="on"/>
              </w:rPr>
              <w:t>ИТОГО</w:t>
            </w:r>
          </w:p>
        </w:tc>
        <w:tc>
          <w:tcPr>
            <w:tcW w:type="dxa" w:w="5355"/>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b w:val="on"/>
              </w:rPr>
              <w:t>4 876,32</w:t>
            </w:r>
          </w:p>
        </w:tc>
      </w:tr>
    </w:tbl>
    <w:p>
      <w:pPr>
        <w:spacing w:before="0" w:after="0"/>
      </w:pPr>
      <w:r>
        <w:rPr/>
      </w:r>
      <w:r>
        <w:rPr>
          <w:u w:val="none"/>
        </w:rPr>
      </w:r>
      <w:r>
        <w:rPr>
          <w:u w:val="none"/>
          <w:sz w:val="24"/>
        </w:rPr>
        <w:t/>
      </w:r>
    </w:p>
    <w:p>
      <w:pPr>
        <w:spacing w:before="0" w:after="0"/>
        <w:ind w:firstLine="709"/>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Выбытие основных средств за отчетный период составило на общую сумму 45 87632 руб., в том числе: </w:t>
      </w:r>
    </w:p>
    <w:p>
      <w:pPr>
        <w:spacing w:before="0" w:after="0"/>
        <w:ind w:right="0" w:left="0" w:firstLine="566"/>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по счету 101.34 списано при вводе в эксплуатацию на сумму 41 000,00 руб.:</w:t>
      </w:r>
    </w:p>
    <w:p>
      <w:pPr>
        <w:spacing w:before="0" w:after="0"/>
      </w:pPr>
      <w:r>
        <w:rPr/>
      </w:r>
      <w:r>
        <w:rPr>
          <w:u w:val="none"/>
        </w:rPr>
      </w:r>
      <w:r>
        <w:rPr>
          <w:u w:val="none"/>
          <w:sz w:val="24"/>
        </w:rPr>
        <w:t/>
      </w:r>
    </w:p>
    <w:tbl>
      <w:tblPr>
        <w:tblW w:w="10711" w:type="dxa"/>
        <w:tblBorders>
          <w:top w:val="single" w:sz="8"/>
          <w:left w:val="single" w:sz="8"/>
          <w:bottom w:val="single" w:sz="8"/>
          <w:right w:val="single" w:sz="8"/>
          <w:insideH w:val="single" w:sz="8"/>
          <w:insideV w:val="single" w:sz="8"/>
        </w:tblBorders>
        <w:tblLayout w:type="fixed"/>
      </w:tblPr>
      <w:tblGrid>
        <w:gridCol w:w="5355"/>
        <w:gridCol w:w="5355"/>
      </w:tblGrid>
      <w:tr>
        <w:trPr>
          <w:tblHeader/>
        </w:trPr>
        <w:tc>
          <w:tcPr>
            <w:tcW w:type="dxa" w:w="5355"/>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Наименование ОС</w:t>
            </w:r>
          </w:p>
        </w:tc>
        <w:tc>
          <w:tcPr>
            <w:tcW w:type="dxa" w:w="5355"/>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Сумма, руб.</w:t>
            </w:r>
          </w:p>
        </w:tc>
      </w:tr>
      <w:tr>
        <w:tc>
          <w:tcPr>
            <w:tcW w:type="dxa" w:w="5355"/>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Монитор 23.8, 5 шт.</w:t>
            </w:r>
          </w:p>
        </w:tc>
        <w:tc>
          <w:tcPr>
            <w:tcW w:type="dxa" w:w="5355"/>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35 000,00</w:t>
            </w:r>
          </w:p>
        </w:tc>
      </w:tr>
      <w:tr>
        <w:tc>
          <w:tcPr>
            <w:tcW w:type="dxa" w:w="5355"/>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Шредер для бумаги ProMega offce OS808-10C, 1 шт.</w:t>
            </w:r>
          </w:p>
        </w:tc>
        <w:tc>
          <w:tcPr>
            <w:tcW w:type="dxa" w:w="5355"/>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6 000,00</w:t>
            </w:r>
          </w:p>
        </w:tc>
      </w:tr>
      <w:tr>
        <w:tc>
          <w:tcPr>
            <w:tcW w:type="dxa" w:w="5355"/>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b w:val="on"/>
              </w:rPr>
              <w:t>ИТОГО</w:t>
            </w:r>
          </w:p>
        </w:tc>
        <w:tc>
          <w:tcPr>
            <w:tcW w:type="dxa" w:w="5355"/>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b w:val="on"/>
              </w:rPr>
              <w:t>41 000,00</w:t>
            </w:r>
          </w:p>
        </w:tc>
      </w:tr>
    </w:tbl>
    <w:p>
      <w:pPr>
        <w:spacing w:before="0" w:after="0"/>
      </w:pPr>
      <w:r>
        <w:rPr/>
      </w:r>
      <w:r>
        <w:rPr>
          <w:u w:val="none"/>
        </w:rPr>
      </w:r>
      <w:r>
        <w:rPr>
          <w:u w:val="none"/>
          <w:sz w:val="24"/>
        </w:rPr>
        <w:t/>
      </w:r>
    </w:p>
    <w:p>
      <w:pPr>
        <w:spacing w:before="0" w:after="0"/>
        <w:ind w:right="0" w:left="0" w:firstLine="566"/>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по счету 101 36 – безвозмездная передача в администрацию Южного округа города Оренбурга по распоряжению департамента имущественных и жилищных отношений администрации города Оренбурга от 30.01.2025 № 35 на сумму 4 876,32 руб. (акт о приеме-передаче объектов НФА № 0000-000001 от 30.01.2025):</w:t>
      </w:r>
    </w:p>
    <w:p>
      <w:pPr>
        <w:spacing w:before="0" w:after="0"/>
      </w:pPr>
      <w:r>
        <w:rPr/>
      </w:r>
      <w:r>
        <w:rPr>
          <w:u w:val="none"/>
        </w:rPr>
      </w:r>
      <w:r>
        <w:rPr>
          <w:u w:val="none"/>
          <w:sz w:val="24"/>
        </w:rPr>
        <w:t/>
      </w:r>
    </w:p>
    <w:tbl>
      <w:tblPr>
        <w:tblW w:w="10711" w:type="dxa"/>
        <w:tblBorders>
          <w:top w:val="single" w:sz="8"/>
          <w:left w:val="single" w:sz="8"/>
          <w:bottom w:val="single" w:sz="8"/>
          <w:right w:val="single" w:sz="8"/>
          <w:insideH w:val="single" w:sz="8"/>
          <w:insideV w:val="single" w:sz="8"/>
        </w:tblBorders>
        <w:tblLayout w:type="fixed"/>
      </w:tblPr>
      <w:tblGrid>
        <w:gridCol w:w="5355"/>
        <w:gridCol w:w="5355"/>
      </w:tblGrid>
      <w:tr>
        <w:trPr>
          <w:tblHeader/>
        </w:trPr>
        <w:tc>
          <w:tcPr>
            <w:tcW w:type="dxa" w:w="5355"/>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Наименование ОС</w:t>
            </w:r>
          </w:p>
        </w:tc>
        <w:tc>
          <w:tcPr>
            <w:tcW w:type="dxa" w:w="5355"/>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Сумма, руб.</w:t>
            </w:r>
          </w:p>
        </w:tc>
      </w:tr>
      <w:tr>
        <w:tc>
          <w:tcPr>
            <w:tcW w:type="dxa" w:w="5355"/>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Интер орех Стол 7008, 1 шт.</w:t>
            </w:r>
          </w:p>
        </w:tc>
        <w:tc>
          <w:tcPr>
            <w:tcW w:type="dxa" w:w="5355"/>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2 876,76</w:t>
            </w:r>
          </w:p>
        </w:tc>
      </w:tr>
      <w:tr>
        <w:tc>
          <w:tcPr>
            <w:tcW w:type="dxa" w:w="5355"/>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Стол письменный (02), 1 шт.</w:t>
            </w:r>
          </w:p>
        </w:tc>
        <w:tc>
          <w:tcPr>
            <w:tcW w:type="dxa" w:w="5355"/>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1 999,56</w:t>
            </w:r>
          </w:p>
        </w:tc>
      </w:tr>
      <w:tr>
        <w:tc>
          <w:tcPr>
            <w:tcW w:type="dxa" w:w="5355"/>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b w:val="on"/>
              </w:rPr>
              <w:t>ИТОГО</w:t>
            </w:r>
          </w:p>
        </w:tc>
        <w:tc>
          <w:tcPr>
            <w:tcW w:type="dxa" w:w="5355"/>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8"/>
                <w:rFonts w:ascii="Times New Roman" w:hAnsi="Times New Roman" w:cs="Times New Roman" w:eastAsia="Times New Roman"/>
                <w:u w:val="none"/>
                <w:b w:val="on"/>
              </w:rPr>
              <w:t>4 876,32</w:t>
            </w:r>
          </w:p>
        </w:tc>
      </w:tr>
    </w:tbl>
    <w:p>
      <w:pPr>
        <w:spacing w:before="0" w:after="0"/>
      </w:pPr>
      <w:r>
        <w:rPr/>
      </w:r>
      <w:r>
        <w:rPr>
          <w:u w:val="none"/>
        </w:rPr>
      </w:r>
      <w:r>
        <w:rPr>
          <w:u w:val="none"/>
          <w:sz w:val="24"/>
        </w:rPr>
        <w:t/>
      </w:r>
    </w:p>
    <w:p>
      <w:pPr>
        <w:spacing w:before="0" w:after="0"/>
        <w:ind w:firstLine="539"/>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По состоянию на 01.01.2026 года стоимость материальных запасов составила 106 040,11</w:t>
      </w:r>
      <w:r>
        <w:rPr>
          <w:sz w:val="38"/>
          <w:rFonts w:ascii="Times New Roman" w:hAnsi="Times New Roman" w:cs="Times New Roman" w:eastAsia="Times New Roman"/>
          <w:u w:val="none"/>
        </w:rPr>
        <w:t> </w:t>
      </w:r>
      <w:r>
        <w:rPr>
          <w:sz w:val="38"/>
          <w:rFonts w:ascii="Times New Roman" w:hAnsi="Times New Roman" w:cs="Times New Roman" w:eastAsia="Times New Roman"/>
          <w:u w:val="none"/>
          <w:color w:val="000000"/>
        </w:rPr>
        <w:t>руб.</w:t>
      </w:r>
    </w:p>
    <w:p>
      <w:pPr>
        <w:spacing w:before="0" w:after="0"/>
      </w:pPr>
      <w:r>
        <w:rPr/>
      </w:r>
      <w:r>
        <w:rPr>
          <w:u w:val="none"/>
        </w:rPr>
      </w:r>
      <w:r>
        <w:rPr>
          <w:u w:val="none"/>
          <w:sz w:val="24"/>
        </w:rPr>
        <w:t/>
      </w:r>
    </w:p>
    <w:p>
      <w:pPr>
        <w:spacing w:before="0" w:after="0"/>
        <w:ind w:firstLine="539"/>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Поступило в отчетном периоде материальных запасов на общую сумму 255 660,01</w:t>
      </w:r>
      <w:r>
        <w:rPr>
          <w:sz w:val="38"/>
          <w:rFonts w:ascii="Times New Roman" w:hAnsi="Times New Roman" w:cs="Times New Roman" w:eastAsia="Times New Roman"/>
          <w:u w:val="none"/>
        </w:rPr>
        <w:t> </w:t>
      </w:r>
      <w:r>
        <w:rPr>
          <w:sz w:val="38"/>
          <w:rFonts w:ascii="Times New Roman" w:hAnsi="Times New Roman" w:cs="Times New Roman" w:eastAsia="Times New Roman"/>
          <w:u w:val="none"/>
          <w:color w:val="000000"/>
        </w:rPr>
        <w:t>руб., в том числе, приобретение: вода питьевая – 29 025,00 руб., хоз. товары – 660,50 руб., канцтовары – 129 674,50 руб.; расходные и комплектующие к технике – 9300,01 руб., букет сборный в упаковке – 87 000,00 руб.</w:t>
      </w:r>
    </w:p>
    <w:p>
      <w:pPr>
        <w:spacing w:before="0" w:after="0"/>
      </w:pPr>
      <w:r>
        <w:rPr/>
      </w:r>
      <w:r>
        <w:rPr>
          <w:u w:val="none"/>
        </w:rPr>
      </w:r>
      <w:r>
        <w:rPr>
          <w:u w:val="none"/>
          <w:sz w:val="24"/>
        </w:rPr>
        <w:t/>
      </w:r>
    </w:p>
    <w:p>
      <w:pPr>
        <w:spacing w:before="0" w:after="0"/>
        <w:ind w:firstLine="539"/>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Выбыло в отчетном периоде материальных запасов на сумму 217 442,90 руб., в том числе, списано: канцтовары – 43 254,90 руб., вода питьевая – 28 350,00 руб., цветы – 87 000,00 руб., передано безвозмездно 80 книг в муниципальное бюджетное учреждение «Библиотечная информационная система» на сумму 58 83,00 руб. по распоряжению департамента имущественных и жилищных отношений администрации города Оренбурга от 28.02.2025 № 76.</w:t>
      </w:r>
    </w:p>
    <w:p>
      <w:pPr>
        <w:spacing w:before="0" w:after="0"/>
        <w:ind w:firstLine="539"/>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По состоянию на 01.01.2026 балансовая стоимость прав пользования нематериальными активами составила 70 175,20 руб.</w:t>
      </w:r>
    </w:p>
    <w:p>
      <w:pPr>
        <w:spacing w:before="0" w:after="0"/>
        <w:ind w:firstLine="566"/>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Поступило прав пользования нематериальными активами на сумму 70 175,20 руб., в том числе:</w:t>
      </w:r>
    </w:p>
    <w:p>
      <w:pPr>
        <w:spacing w:before="0" w:after="0"/>
        <w:ind w:firstLine="566"/>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 по счету 111.6I «Права пользования программным обеспечением и базами данных» (Лицензия Kaspersky Endpoint Security для бизнеса - Расширенный Russian Edition. в количестве 20 шт.) – 70 175,20 руб.</w:t>
      </w:r>
    </w:p>
    <w:p>
      <w:pPr>
        <w:spacing w:before="0" w:after="0"/>
      </w:pPr>
      <w:r>
        <w:rPr/>
      </w:r>
      <w:r>
        <w:rPr>
          <w:u w:val="none"/>
        </w:rPr>
      </w:r>
      <w:r>
        <w:rPr>
          <w:u w:val="none"/>
          <w:sz w:val="24"/>
        </w:rPr>
        <w:t/>
      </w:r>
    </w:p>
    <w:p>
      <w:pPr>
        <w:spacing w:before="0" w:after="0"/>
        <w:ind w:firstLine="539"/>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Движение материальных ценностей на забалансовых счетах</w:t>
      </w:r>
    </w:p>
    <w:p>
      <w:pPr>
        <w:spacing w:before="0" w:after="0"/>
        <w:ind w:firstLine="566"/>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По состоянию на 01.01.2026 по счету 01 «Имущество, полученное в пользование» составило – 49,00 руб. в том числе:</w:t>
      </w:r>
    </w:p>
    <w:p>
      <w:pPr>
        <w:spacing w:before="0" w:after="0"/>
        <w:ind w:firstLine="566"/>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 движимое имущество - 49,00 руб. (получено по личным заявлениям)</w:t>
      </w:r>
    </w:p>
    <w:p>
      <w:pPr>
        <w:spacing w:before="0" w:after="0"/>
        <w:ind w:firstLine="566"/>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 По состоянию на 01.01.2026 по счету 21 «Основные средства в эксплуатации» составило – 828 130,5 руб., в том числе:</w:t>
      </w:r>
    </w:p>
    <w:p>
      <w:pPr>
        <w:spacing w:before="0" w:after="0"/>
        <w:ind w:firstLine="566"/>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 поступило движимое имущество на сумму 41 000,00 руб. при вводе в эксплуатацию по счету 21.34 «Машины и оборудование – иное движимое имущество»,</w:t>
      </w:r>
    </w:p>
    <w:p>
      <w:pPr>
        <w:spacing w:before="0" w:after="0"/>
        <w:ind w:firstLine="566"/>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 выбыло движимого имущества на сумму 4 876,32 руб. при восстановлении на баланс для безвозмездной передачи на основании вышеуказанного распоряжения по счету 21.36 «Инвентарь производственный и хозяйственный – иное движимое имущество».</w:t>
      </w:r>
    </w:p>
    <w:p>
      <w:pPr>
        <w:spacing w:before="0" w:after="0"/>
      </w:pPr>
      <w:r>
        <w:rPr/>
      </w:r>
      <w:r>
        <w:rPr>
          <w:u w:val="none"/>
        </w:rPr>
      </w:r>
      <w:r>
        <w:rPr>
          <w:u w:val="none"/>
          <w:sz w:val="24"/>
        </w:rPr>
        <w:t/>
      </w:r>
    </w:p>
    <w:p>
      <w:pPr>
        <w:spacing w:before="0" w:after="0"/>
        <w:ind w:firstLine="720"/>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Форма 0503169 «Сведения по дебиторской и кредиторской задолженности».</w:t>
      </w:r>
    </w:p>
    <w:p>
      <w:pPr>
        <w:spacing w:before="0" w:after="0"/>
      </w:pPr>
      <w:r>
        <w:rPr/>
      </w:r>
      <w:r>
        <w:rPr>
          <w:u w:val="none"/>
        </w:rPr>
      </w:r>
      <w:r>
        <w:rPr>
          <w:u w:val="none"/>
          <w:sz w:val="24"/>
        </w:rPr>
        <w:t/>
      </w:r>
    </w:p>
    <w:p>
      <w:pPr>
        <w:spacing w:before="0" w:after="0"/>
        <w:jc w:val="center"/>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Анализ дебиторской задолженности по состоянию на отчетную дату в сравнении с данными за аналогичный период прошлого финансового года к форме 0503169</w:t>
      </w:r>
    </w:p>
    <w:p>
      <w:pPr>
        <w:spacing w:before="0" w:after="0"/>
      </w:pPr>
      <w:r>
        <w:rPr/>
      </w:r>
      <w:r>
        <w:rPr>
          <w:u w:val="none"/>
        </w:rPr>
      </w:r>
      <w:r>
        <w:rPr>
          <w:u w:val="none"/>
          <w:sz w:val="24"/>
        </w:rPr>
        <w:t/>
      </w:r>
    </w:p>
    <w:tbl>
      <w:tblPr>
        <w:tblW w:w="10711" w:type="dxa"/>
        <w:tblBorders>
          <w:top w:val="single" w:sz="8"/>
          <w:left w:val="single" w:sz="8"/>
          <w:bottom w:val="single" w:sz="8"/>
          <w:right w:val="single" w:sz="8"/>
          <w:insideH w:val="single" w:sz="8"/>
          <w:insideV w:val="single" w:sz="8"/>
        </w:tblBorders>
        <w:tblLayout w:type="fixed"/>
      </w:tblPr>
      <w:tblGrid>
        <w:gridCol w:w="2142"/>
        <w:gridCol w:w="2142"/>
        <w:gridCol w:w="2142"/>
        <w:gridCol w:w="2142"/>
        <w:gridCol w:w="2142"/>
      </w:tblGrid>
      <w:tr>
        <w:trPr>
          <w:tblHeader/>
        </w:trPr>
        <w:tc>
          <w:tcPr>
            <w:tcW w:type="dxa" w:w="2142"/>
            <w:vMerge w:val="restart"/>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t xml:space="preserve">Код счета бюджетного учета </w:t>
            </w:r>
            <w:r>
              <w:rPr>
                <w:sz w:val="30"/>
                <w:rFonts w:ascii="Times New Roman" w:hAnsi="Times New Roman" w:cs="Times New Roman" w:eastAsia="Times New Roman"/>
                <w:u w:val="none"/>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30"/>
                <w:rFonts w:ascii="Times New Roman" w:hAnsi="Times New Roman" w:cs="Times New Roman" w:eastAsia="Times New Roman"/>
                <w:u w:val="none"/>
              </w:rPr>
              <w:t/>
            </w:r>
            <w:r>
              <w:rPr>
                <w:sz w:val="30"/>
                <w:rFonts w:ascii="Times New Roman" w:hAnsi="Times New Roman" w:cs="Times New Roman" w:eastAsia="Times New Roman"/>
                <w:u w:val="none"/>
              </w:rPr>
              <w:t> гр. 1  формы 0503169</w:t>
            </w:r>
          </w:p>
        </w:tc>
        <w:tc>
          <w:tcPr>
            <w:tcW w:type="dxa" w:w="4284"/>
            <w:gridSpan w:val="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t>Сумма задолженности, руб.</w:t>
            </w:r>
          </w:p>
        </w:tc>
        <w:tc>
          <w:tcPr>
            <w:tcW w:type="dxa" w:w="2142"/>
            <w:vMerge w:val="restart"/>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t>Расшифровка дебиторской задолженности   (что учтено по счету)</w:t>
            </w:r>
          </w:p>
        </w:tc>
        <w:tc>
          <w:tcPr>
            <w:tcW w:type="dxa" w:w="2142"/>
            <w:vMerge w:val="restart"/>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t>Причина увеличения задолженности на отчетную дату в сравнении с данными за аналогичный отчетный период прошлого финансового года (гр.3 - гр.2)</w:t>
            </w:r>
          </w:p>
        </w:tc>
      </w:tr>
      <w:tr>
        <w:tc>
          <w:tcPr>
            <w:tcW w:type="dxa" w:w="2142"/>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t>Данные за аналогичный отчетный период прошлого финансового года (на 01.01.2025) гр.2 форм 0503169(769) </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t>Данные за отчетный период</w:t>
            </w:r>
            <w:r>
              <w:rPr>
                <w:sz w:val="30"/>
                <w:rFonts w:ascii="Times New Roman" w:hAnsi="Times New Roman" w:cs="Times New Roman" w:eastAsia="Times New Roman"/>
                <w:u w:val="none"/>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30"/>
                <w:rFonts w:ascii="Times New Roman" w:hAnsi="Times New Roman" w:cs="Times New Roman" w:eastAsia="Times New Roman"/>
                <w:u w:val="none"/>
              </w:rPr>
              <w:t/>
            </w:r>
            <w:r>
              <w:rPr>
                <w:sz w:val="30"/>
                <w:rFonts w:ascii="Times New Roman" w:hAnsi="Times New Roman" w:cs="Times New Roman" w:eastAsia="Times New Roman"/>
                <w:u w:val="none"/>
              </w:rPr>
              <w:t> (на 01.01.2026)</w:t>
            </w:r>
          </w:p>
        </w:tc>
        <w:tc>
          <w:tcPr>
            <w:tcW w:type="dxa" w:w="2142"/>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2142"/>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r>
      <w:tr>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t>1</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t>2</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t>3</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t>4</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t>5</w:t>
            </w:r>
          </w:p>
        </w:tc>
      </w:tr>
      <w:tr>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t>1 20529 000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t>12 290 358,41</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t>7 157 575,42</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t>задолженность контрагентов по плате за размещение рекламных конструкций и нестационарных торговых объектов</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r>
      <w:tr>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b w:val="on"/>
              </w:rPr>
              <w:t>Итого по счету 1 205000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b w:val="on"/>
              </w:rPr>
              <w:t>12 290 358,41</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b w:val="on"/>
              </w:rPr>
              <w:t>7 157 575,42</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r>
      <w:tr>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1 20821 000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t>7 236,00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t>3 844,00</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t>выдача в подотчет маркированных конвертов</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r>
      <w:tr>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b w:val="on"/>
              </w:rPr>
              <w:rPr>
                <w:shd w:fill="FFFFFF"/>
              </w:rPr>
              <w:t>Итого по счету 1 208000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b w:val="on"/>
              </w:rPr>
              <w:t>7 236,00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b w:val="on"/>
              </w:rPr>
              <w:t>3 844,00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r>
      <w:tr>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1 20934 000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t>154 159,79</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t>0,00</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начислено за демонтаж установленных незаконных НТО</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r>
      <w:tr>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1 20936 000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t>16 290,79</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t>18 552,66</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Возмещение расходов на оплату дополнительных выходных дней по уходу за детьми-инвалидами от ОСФР</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t>увеличение стоимости одного дня</w:t>
            </w:r>
          </w:p>
        </w:tc>
      </w:tr>
      <w:tr>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1 20941 000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t>314 557,46</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t>206 843,48</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начисление пени за неисполнение условий договоров по плате за установку рекламных конструкций и НТО</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t>несвоевременная оплата пени по судебным  искам за несанкционированное размещение НТО</w:t>
            </w:r>
          </w:p>
        </w:tc>
      </w:tr>
      <w:tr>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b w:val="on"/>
              </w:rPr>
              <w:rPr>
                <w:shd w:fill="FFFFFF"/>
              </w:rPr>
              <w:t>Итого по счету 1 209000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b w:val="on"/>
              </w:rPr>
              <w:t>485 008,04</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b w:val="on"/>
              </w:rPr>
              <w:t>225 396,14</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r>
      <w:tr>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b w:val="on"/>
              </w:rPr>
              <w:t>Всего </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b w:val="on"/>
              </w:rPr>
              <w:t>12 782 602,45</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6"/>
                <w:rFonts w:ascii="Times New Roman" w:hAnsi="Times New Roman" w:cs="Times New Roman" w:eastAsia="Times New Roman"/>
                <w:u w:val="none"/>
                <w:b w:val="on"/>
              </w:rPr>
              <w:t>7 386 815,56</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r>
    </w:tbl>
    <w:p>
      <w:pPr>
        <w:spacing w:before="0" w:after="0"/>
      </w:pPr>
      <w:r>
        <w:rPr/>
      </w:r>
      <w:r>
        <w:rPr>
          <w:u w:val="none"/>
        </w:rPr>
      </w:r>
      <w:r>
        <w:rPr>
          <w:u w:val="none"/>
          <w:sz w:val="24"/>
        </w:rPr>
        <w:t/>
      </w:r>
    </w:p>
    <w:p>
      <w:pPr>
        <w:spacing w:before="0" w:after="0"/>
        <w:jc w:val="center"/>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Анализ   просроченной  дебиторской задолженности </w:t>
      </w:r>
      <w:r>
        <w:rPr>
          <w:sz w:val="38"/>
          <w:rFonts w:ascii="Times New Roman" w:hAnsi="Times New Roman" w:cs="Times New Roman" w:eastAsia="Times New Roman"/>
          <w:u w:val="none"/>
        </w:rPr>
        <w:t>по состоянию на отчетную дату в сравнении  с данными за аналогичный отчетный период прошлого финансового года</w:t>
      </w:r>
      <w:r>
        <w:rPr>
          <w:sz w:val="38"/>
          <w:rFonts w:ascii="Times New Roman" w:hAnsi="Times New Roman" w:cs="Times New Roman" w:eastAsia="Times New Roman"/>
          <w:u w:val="none"/>
          <w:color w:val="000000"/>
        </w:rPr>
        <w:t>  (</w:t>
      </w:r>
      <w:r>
        <w:rPr>
          <w:sz w:val="38"/>
          <w:rFonts w:ascii="Times New Roman" w:hAnsi="Times New Roman" w:cs="Times New Roman" w:eastAsia="Times New Roman"/>
          <w:u w:val="none"/>
        </w:rPr>
        <w:t>к форме 0503169)</w:t>
      </w:r>
    </w:p>
    <w:p>
      <w:pPr>
        <w:spacing w:before="0" w:after="0"/>
      </w:pPr>
      <w:r>
        <w:rPr/>
      </w:r>
      <w:r>
        <w:rPr>
          <w:u w:val="none"/>
        </w:rPr>
      </w:r>
      <w:r>
        <w:rPr>
          <w:u w:val="none"/>
          <w:sz w:val="24"/>
        </w:rPr>
        <w:t/>
      </w:r>
    </w:p>
    <w:tbl>
      <w:tblPr>
        <w:tblW w:w="10711" w:type="dxa"/>
        <w:tblBorders>
          <w:top w:val="single" w:sz="8"/>
          <w:left w:val="single" w:sz="8"/>
          <w:bottom w:val="single" w:sz="8"/>
          <w:right w:val="single" w:sz="8"/>
          <w:insideH w:val="single" w:sz="8"/>
          <w:insideV w:val="single" w:sz="8"/>
        </w:tblBorders>
        <w:tblLayout w:type="fixed"/>
      </w:tblPr>
      <w:tblGrid>
        <w:gridCol w:w="2142"/>
        <w:gridCol w:w="2142"/>
        <w:gridCol w:w="2142"/>
        <w:gridCol w:w="2142"/>
        <w:gridCol w:w="2142"/>
      </w:tblGrid>
      <w:tr>
        <w:trPr>
          <w:tblHeader/>
        </w:trPr>
        <w:tc>
          <w:tcPr>
            <w:tcW w:type="dxa" w:w="2142"/>
            <w:vMerge w:val="restart"/>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t>Код счета бюджетного учета</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t>гр. 1     формы 0503169</w:t>
            </w:r>
          </w:p>
        </w:tc>
        <w:tc>
          <w:tcPr>
            <w:tcW w:type="dxa" w:w="4284"/>
            <w:gridSpan w:val="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t>Сумма задолженности, руб.</w:t>
            </w:r>
          </w:p>
        </w:tc>
        <w:tc>
          <w:tcPr>
            <w:tcW w:type="dxa" w:w="2142"/>
            <w:vMerge w:val="restart"/>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t>Расшифровка дебиторской задолженности   (что учтено по счету)</w:t>
            </w:r>
          </w:p>
        </w:tc>
        <w:tc>
          <w:tcPr>
            <w:tcW w:type="dxa" w:w="2142"/>
            <w:vMerge w:val="restart"/>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t>Причина увеличения задолженности на отчетную дату в сравнении с данными за аналогичный отчетный период прошлого финансового года (гр.3 - гр.2)</w:t>
            </w:r>
          </w:p>
        </w:tc>
      </w:tr>
      <w:tr>
        <w:tc>
          <w:tcPr>
            <w:tcW w:type="dxa" w:w="2142"/>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t>Данные за аналогичный отчетный период прошлого финансового года (на 01.01.2025) гр.2а форм 0503169(769)</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t>Данные за отчетный период</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t>(на 01.01.2026)</w:t>
            </w:r>
          </w:p>
        </w:tc>
        <w:tc>
          <w:tcPr>
            <w:tcW w:type="dxa" w:w="2142"/>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2142"/>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r>
      <w:tr>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t>1</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t>2</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t>3</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t>4</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t>5</w:t>
            </w:r>
          </w:p>
        </w:tc>
      </w:tr>
      <w:tr>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t>205.29</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t>12 290 358,41</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t>7 133800,61</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r>
      <w:tr>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t>Итого по счету</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b w:val="on"/>
              </w:rPr>
              <w:t>12 290 358,41</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b w:val="on"/>
              </w:rPr>
              <w:t>7 157 575,42</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r>
      <w:tr>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t>209.34</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t>154 159,79</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t>-</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оплата за демонтаж НТО и рекламных конструкций</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r>
      <w:tr>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t>209.41</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t>314 557,46</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t>206 843,48</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оплата пени за неисполнение условий договоров по оплате за право на установку рекламных конструкций и НТО</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r>
      <w:tr>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t>Итого по счету</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b w:val="on"/>
              </w:rPr>
              <w:t>468 717,25</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b w:val="on"/>
              </w:rPr>
              <w:t>206 843,48</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r>
      <w:tr>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t>Всего</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b w:val="on"/>
              </w:rPr>
              <w:t>17 759 075,66</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b w:val="on"/>
              </w:rPr>
              <w:t>7 340 644,09</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r>
    </w:tbl>
    <w:p>
      <w:pPr>
        <w:spacing w:before="0" w:after="0"/>
      </w:pPr>
      <w:r>
        <w:rPr/>
      </w:r>
      <w:r>
        <w:rPr>
          <w:u w:val="none"/>
        </w:rPr>
      </w:r>
      <w:r>
        <w:rPr>
          <w:u w:val="none"/>
          <w:sz w:val="24"/>
        </w:rPr>
        <w:t/>
      </w:r>
    </w:p>
    <w:p>
      <w:pPr>
        <w:spacing w:before="0" w:after="0"/>
        <w:jc w:val="center"/>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Расшифровка   причин изменения показателей просроченной дебиторской задолженности   на   01.01.2025   (на начало года) (к форме 0503169)</w:t>
      </w:r>
    </w:p>
    <w:p>
      <w:pPr>
        <w:spacing w:before="0" w:after="0"/>
      </w:pPr>
      <w:r>
        <w:rPr/>
      </w:r>
      <w:r>
        <w:rPr>
          <w:u w:val="none"/>
        </w:rPr>
      </w:r>
      <w:r>
        <w:rPr>
          <w:u w:val="none"/>
          <w:sz w:val="24"/>
        </w:rPr>
        <w:t/>
      </w:r>
    </w:p>
    <w:tbl>
      <w:tblPr>
        <w:tblW w:w="10711" w:type="dxa"/>
        <w:tblBorders>
          <w:top w:val="single" w:sz="8"/>
          <w:left w:val="single" w:sz="8"/>
          <w:bottom w:val="single" w:sz="8"/>
          <w:right w:val="single" w:sz="8"/>
          <w:insideH w:val="single" w:sz="8"/>
          <w:insideV w:val="single" w:sz="8"/>
        </w:tblBorders>
        <w:tblLayout w:type="fixed"/>
      </w:tblPr>
      <w:tblGrid>
        <w:gridCol w:w="2142"/>
        <w:gridCol w:w="2142"/>
        <w:gridCol w:w="2142"/>
        <w:gridCol w:w="2142"/>
        <w:gridCol w:w="2142"/>
      </w:tblGrid>
      <w:tr>
        <w:trPr>
          <w:tblHeader/>
        </w:trPr>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Номер (код) счета бюджетного учета</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rPr>
                <w:shd w:fill="FFFFFF"/>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rPr>
                <w:shd w:fill="FFFFFF"/>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Сумма показателя просроченной дебиторской  задолженности на конец 2024, по данным отчета за 2024 год, руб.</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rPr>
                <w:shd w:fill="FFFFFF"/>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rPr>
                <w:shd w:fill="FFFFFF"/>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Сумма</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показателя</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просроченной дебиторской</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задолженности</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на 01.01.2025, по</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данным отчета</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на 01.01.2026</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rPr>
                <w:shd w:fill="FFFFFF"/>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rPr>
                <w:shd w:fill="FFFFFF"/>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Сумма изменений, руб  (гр.3 – гр.2)</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t>Причины изменения показателя просроченной дебиторской задолженности на начало года отчетного периода</w:t>
            </w:r>
          </w:p>
        </w:tc>
      </w:tr>
      <w:tr>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1</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2</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3</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4</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5</w:t>
            </w:r>
          </w:p>
        </w:tc>
      </w:tr>
      <w:tr>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205.29</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2 902 178,61</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12 290 358,41</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b w:val="on"/>
              </w:rPr>
              <w:rPr>
                <w:shd w:fill="FFFFFF"/>
              </w:rPr>
              <w:t>9 388 179,80</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Несвоевременная оплата по договорам, выставленным претензиям по факту самовольного увеличения торговой площади за прошлые годы, судебным искам за несанкционированное размещение НТО, в связи с несвоевременным поступлением первичных документов, претензии за фактическое пользование рекламных конструкций за 4 кв.2024 г выставлены в январе-феврале 2025 г.</w:t>
            </w:r>
          </w:p>
        </w:tc>
      </w:tr>
      <w:tr>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b w:val="on"/>
              </w:rPr>
              <w:rPr>
                <w:shd w:fill="FFFFFF"/>
              </w:rPr>
              <w:t>Итого по счету</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b w:val="on"/>
              </w:rPr>
              <w:rPr>
                <w:shd w:fill="FFFFFF"/>
              </w:rPr>
              <w:t>2 902 178,61</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b w:val="on"/>
              </w:rPr>
              <w:rPr>
                <w:shd w:fill="FFFFFF"/>
              </w:rPr>
              <w:t>12 290 358,41</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b w:val="on"/>
              </w:rPr>
              <w:rPr>
                <w:shd w:fill="FFFFFF"/>
              </w:rPr>
              <w:t>9 388 179,80</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rPr>
                <w:shd w:fill="FFFFFF"/>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rPr>
                <w:shd w:fill="FFFFFF"/>
              </w:rPr>
              <w:t/>
            </w:r>
          </w:p>
        </w:tc>
      </w:tr>
      <w:tr>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209.34</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rPr>
                <w:shd w:fill="FFFFFF"/>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rPr>
                <w:shd w:fill="FFFFFF"/>
              </w:rPr>
              <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166 975,88</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154 159,79</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- 12 816,09</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При анализе оборотно-сальдовой ведомости выявлены ошибки при начислении доходов за демонтаж рекламной конструкции по первичным документам от КПРУиРП, корректировка (снятие) задвоенных сумм. </w:t>
            </w:r>
          </w:p>
        </w:tc>
      </w:tr>
      <w:tr>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209.41</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39 014,23</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314 557,46</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275 543,23</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rPr>
              <w:rPr>
                <w:shd w:fill="FFFFFF"/>
              </w:rPr>
              <w:t>Увеличение дебиторской задолженности -  несвоевременная оплата пени по судебным  искам за несанкционированное размещение НТО</w:t>
            </w:r>
          </w:p>
        </w:tc>
      </w:tr>
      <w:tr>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b w:val="on"/>
              </w:rPr>
              <w:rPr>
                <w:shd w:fill="FFFFFF"/>
              </w:rPr>
              <w:t>Итого по счету</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b w:val="on"/>
              </w:rPr>
              <w:rPr>
                <w:shd w:fill="FFFFFF"/>
              </w:rPr>
              <w:t>205 990,11</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b w:val="on"/>
              </w:rPr>
              <w:rPr>
                <w:shd w:fill="FFFFFF"/>
              </w:rPr>
              <w:t>468 717,25</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b w:val="on"/>
              </w:rPr>
              <w:rPr>
                <w:shd w:fill="FFFFFF"/>
              </w:rPr>
              <w:t>262 727,14</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rPr>
                <w:shd w:fill="FFFFFF"/>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rPr>
                <w:shd w:fill="FFFFFF"/>
              </w:rPr>
              <w:t/>
            </w:r>
          </w:p>
        </w:tc>
      </w:tr>
      <w:tr>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b w:val="on"/>
              </w:rPr>
              <w:rPr>
                <w:shd w:fill="FFFFFF"/>
              </w:rPr>
              <w:t>Всего</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b w:val="on"/>
              </w:rPr>
              <w:rPr>
                <w:shd w:fill="FFFFFF"/>
              </w:rPr>
              <w:t>3 108 168,72</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b w:val="on"/>
              </w:rPr>
              <w:rPr>
                <w:shd w:fill="FFFFFF"/>
              </w:rPr>
              <w:t>12 759 075,66</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0"/>
                <w:rFonts w:ascii="Times New Roman" w:hAnsi="Times New Roman" w:cs="Times New Roman" w:eastAsia="Times New Roman"/>
                <w:u w:val="none"/>
                <w:b w:val="on"/>
              </w:rPr>
              <w:rPr>
                <w:shd w:fill="FFFFFF"/>
              </w:rPr>
              <w:t>9 650 906,94</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rPr>
                <w:shd w:fill="FFFFFF"/>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rPr>
                <w:shd w:fill="FFFFFF"/>
              </w:rPr>
              <w:t/>
            </w:r>
          </w:p>
        </w:tc>
      </w:tr>
    </w:tbl>
    <w:p>
      <w:pPr>
        <w:spacing w:before="0" w:after="0"/>
      </w:pPr>
      <w:r>
        <w:rPr/>
      </w:r>
      <w:r>
        <w:rPr>
          <w:u w:val="none"/>
        </w:rPr>
      </w:r>
      <w:r>
        <w:rPr>
          <w:u w:val="none"/>
          <w:sz w:val="24"/>
        </w:rPr>
        <w:t/>
      </w:r>
    </w:p>
    <w:p>
      <w:pPr>
        <w:spacing w:before="0" w:after="0"/>
        <w:jc w:val="center"/>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Анализ   показателей сложившейся на 01.01.2026   просроченной дебиторской задолженности (к форме 0503169)</w:t>
      </w:r>
    </w:p>
    <w:tbl>
      <w:tblPr>
        <w:tblW w:w="10711" w:type="dxa"/>
        <w:tblBorders>
          <w:top w:val="single" w:sz="8"/>
          <w:left w:val="single" w:sz="8"/>
          <w:bottom w:val="single" w:sz="8"/>
          <w:right w:val="single" w:sz="8"/>
          <w:insideH w:val="single" w:sz="8"/>
          <w:insideV w:val="single" w:sz="8"/>
        </w:tblBorders>
        <w:tblLayout w:type="fixed"/>
      </w:tblPr>
      <w:tblGrid>
        <w:gridCol w:w="2142"/>
        <w:gridCol w:w="2142"/>
        <w:gridCol w:w="2142"/>
        <w:gridCol w:w="2142"/>
        <w:gridCol w:w="2142"/>
      </w:tblGrid>
      <w:tr>
        <w:trPr>
          <w:tblHeader/>
        </w:trPr>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Номер (код) счета бюджетного учета</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Сумма просроченной дебиторской задолженности, руб., на начало отчетного периода (гр. 4 ф. 0503169)</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Сумма просроченной дебиторской  задолженности, руб., на конец отчетного периода</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Причины образования просроченной дебиторской задолженности (обязательно указать, что учтено по счету)</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Мероприятия, направленные на сокращение и ликвидацию      просроченной  дебиторской задолженности</w:t>
            </w:r>
          </w:p>
        </w:tc>
      </w:tr>
      <w:tr>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1</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2</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3</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4</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5</w:t>
            </w:r>
          </w:p>
        </w:tc>
      </w:tr>
      <w:tr>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205.29</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12 290 358,41</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rPr>
                <w:shd w:fill="FFFFFF"/>
              </w:rPr>
              <w:t>7 133 800,61</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rPr>
                <w:shd w:fill="FFFFFF"/>
              </w:rPr>
              <w:t>1) несвоевременная внесение контрагентами платежей по договору на размещение НТО и установку и эксплуатацию РК;</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rPr>
                <w:shd w:fill="FFFFFF"/>
              </w:rPr>
              <w:t>2) взыскание стоимости неосновательного обогащения в связи с незаконным увеличением контрагентами площади НТО;</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rPr>
                <w:shd w:fill="FFFFFF"/>
              </w:rPr>
              <w:t>3)  взыскание стоимости неосновательного обогащения в связи с незаконным размещением НТО</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rPr>
                <w:shd w:fill="FFFFFF"/>
              </w:rPr>
              <w:t>направлены требования контрагентам об оплате; направлены иски в суд - идет судебное разбирательство;</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rPr>
                <w:shd w:fill="FFFFFF"/>
              </w:rPr>
              <w:t>направлены решения суда на исполнение судебным приставам;</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rPr>
                <w:shd w:fill="FFFFFF"/>
              </w:rPr>
              <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rPr>
                <w:shd w:fill="FFFFFF"/>
              </w:rPr>
              <w:t/>
            </w:r>
          </w:p>
        </w:tc>
      </w:tr>
      <w:tr>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Итого по счету</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b w:val="on"/>
              </w:rPr>
              <w:rPr>
                <w:shd w:fill="FFFFFF"/>
              </w:rPr>
              <w:t>12 290 358,41</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b w:val="on"/>
              </w:rPr>
              <w:rPr>
                <w:shd w:fill="FFFFFF"/>
              </w:rPr>
              <w:t>7 133 800,61</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rPr>
                <w:shd w:fill="FFFFFF"/>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rPr>
                <w:shd w:fill="FFFFFF"/>
              </w:rPr>
              <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rPr>
                <w:shd w:fill="FFFFFF"/>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rPr>
                <w:shd w:fill="FFFFFF"/>
              </w:rPr>
              <w:t/>
            </w:r>
          </w:p>
        </w:tc>
      </w:tr>
      <w:tr>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209.34</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154 159,79</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rPr>
                <w:shd w:fill="FFFFFF"/>
              </w:rPr>
              <w:t>-</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оплата за демонтаж НТО и рекламных конструкций</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rPr>
                <w:shd w:fill="FFFFFF"/>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rPr>
                <w:shd w:fill="FFFFFF"/>
              </w:rPr>
              <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rPr>
                <w:shd w:fill="FFFFFF"/>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rPr>
                <w:shd w:fill="FFFFFF"/>
              </w:rPr>
              <w:t/>
            </w:r>
          </w:p>
        </w:tc>
      </w:tr>
      <w:tr>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209.41</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314 557,46</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rPr>
                <w:shd w:fill="FFFFFF"/>
              </w:rPr>
              <w:t>206 843,48</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оплата пени за неисполнение условий договоров по плате за установку рекламных конструкций и НТО</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rPr>
                <w:shd w:fill="FFFFFF"/>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rPr>
                <w:shd w:fill="FFFFFF"/>
              </w:rPr>
              <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rPr>
                <w:shd w:fill="FFFFFF"/>
              </w:rPr>
              <w:t>Исполнительные листы направлены на исполнение судебным приставам </w:t>
            </w:r>
          </w:p>
        </w:tc>
      </w:tr>
      <w:tr>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Итого по счету</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b w:val="on"/>
              </w:rPr>
              <w:rPr>
                <w:shd w:fill="FFFFFF"/>
              </w:rPr>
              <w:t>468 717,25</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b w:val="on"/>
              </w:rPr>
              <w:rPr>
                <w:shd w:fill="FFFFFF"/>
              </w:rPr>
              <w:t>206 843,48</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rPr>
                <w:shd w:fill="FFFFFF"/>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rPr>
                <w:shd w:fill="FFFFFF"/>
              </w:rPr>
              <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rPr>
                <w:shd w:fill="FFFFFF"/>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rPr>
                <w:shd w:fill="FFFFFF"/>
              </w:rPr>
              <w:t/>
            </w:r>
          </w:p>
        </w:tc>
      </w:tr>
      <w:tr>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ВСЕГО</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b w:val="on"/>
              </w:rPr>
              <w:rPr>
                <w:shd w:fill="FFFFFF"/>
              </w:rPr>
              <w:t>12 759 075,66</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b w:val="on"/>
              </w:rPr>
              <w:rPr>
                <w:shd w:fill="FFFFFF"/>
              </w:rPr>
              <w:t>7 340 644,09</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rPr>
                <w:shd w:fill="FFFFFF"/>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rPr>
                <w:shd w:fill="FFFFFF"/>
              </w:rPr>
              <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rPr>
                <w:shd w:fill="FFFFFF"/>
              </w:rPr>
              <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rPr>
                <w:shd w:fill="FFFFFF"/>
              </w:rPr>
              <w:t/>
            </w:r>
          </w:p>
        </w:tc>
      </w:tr>
    </w:tbl>
    <w:p>
      <w:pPr>
        <w:spacing w:before="0" w:after="0"/>
      </w:pPr>
      <w:r>
        <w:rPr/>
      </w:r>
      <w:r>
        <w:rPr>
          <w:u w:val="none"/>
        </w:rPr>
      </w:r>
      <w:r>
        <w:rPr>
          <w:u w:val="none"/>
          <w:sz w:val="24"/>
        </w:rPr>
        <w:t/>
      </w:r>
    </w:p>
    <w:p>
      <w:pPr>
        <w:spacing w:before="0" w:after="0"/>
        <w:ind w:firstLine="540"/>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strike w:val="off"/>
        </w:rPr>
        <w:t>Раздел 2</w:t>
      </w:r>
      <w:r>
        <w:rPr>
          <w:sz w:val="38"/>
          <w:rFonts w:ascii="Times New Roman" w:hAnsi="Times New Roman" w:cs="Times New Roman" w:eastAsia="Times New Roman"/>
          <w:u w:val="none"/>
        </w:rPr>
        <w:t> Сведений ф. 0503169 заполнен по показателям просроченной дебиторской задолженности, которая составляет 50000,00 руб. и более по одному обязательству (правовому основанию) согласно приказу финансового управления от 18.03.2019 № 27. </w:t>
      </w:r>
    </w:p>
    <w:p>
      <w:pPr>
        <w:spacing w:before="0" w:after="0"/>
        <w:ind w:firstLine="709"/>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Таблица 15 «Причины увеличения просроченной задолженности» в составе Пояснительной записке представлена.</w:t>
      </w:r>
    </w:p>
    <w:p>
      <w:pPr>
        <w:spacing w:before="0" w:after="0"/>
      </w:pPr>
      <w:r>
        <w:rPr/>
      </w:r>
      <w:r>
        <w:rPr>
          <w:u w:val="none"/>
        </w:rPr>
      </w:r>
      <w:r>
        <w:rPr>
          <w:u w:val="none"/>
          <w:sz w:val="24"/>
        </w:rPr>
        <w:t/>
      </w:r>
    </w:p>
    <w:p>
      <w:pPr>
        <w:spacing w:before="0" w:after="0"/>
        <w:jc w:val="center"/>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Анализ кредиторской задолженности по состоянию на отчетную дату в сравнении с данными за аналогичный период прошлого финансового года по форме 0305169</w:t>
      </w:r>
    </w:p>
    <w:p>
      <w:pPr>
        <w:spacing w:before="0" w:after="0"/>
      </w:pPr>
      <w:r>
        <w:rPr/>
      </w:r>
      <w:r>
        <w:rPr>
          <w:u w:val="none"/>
        </w:rPr>
      </w:r>
      <w:r>
        <w:rPr>
          <w:u w:val="none"/>
          <w:sz w:val="24"/>
        </w:rPr>
        <w:t/>
      </w:r>
    </w:p>
    <w:tbl>
      <w:tblPr>
        <w:tblW w:w="10711" w:type="dxa"/>
        <w:tblBorders>
          <w:top w:val="single" w:sz="8"/>
          <w:left w:val="single" w:sz="8"/>
          <w:bottom w:val="single" w:sz="8"/>
          <w:right w:val="single" w:sz="8"/>
          <w:insideH w:val="single" w:sz="8"/>
          <w:insideV w:val="single" w:sz="8"/>
        </w:tblBorders>
        <w:tblLayout w:type="fixed"/>
      </w:tblPr>
      <w:tblGrid>
        <w:gridCol w:w="2142"/>
        <w:gridCol w:w="2142"/>
        <w:gridCol w:w="2142"/>
        <w:gridCol w:w="2142"/>
        <w:gridCol w:w="2142"/>
      </w:tblGrid>
      <w:tr>
        <w:trPr>
          <w:tblHeader/>
        </w:trPr>
        <w:tc>
          <w:tcPr>
            <w:tcW w:type="dxa" w:w="2142"/>
            <w:vMerge w:val="restart"/>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 xml:space="preserve">Код счета бюджетного учета </w:t>
            </w:r>
            <w:r>
              <w:rPr>
                <w:sz w:val="32"/>
                <w:rFonts w:ascii="Times New Roman" w:hAnsi="Times New Roman" w:cs="Times New Roman" w:eastAsia="Times New Roman"/>
                <w:u w:val="none"/>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32"/>
                <w:rFonts w:ascii="Times New Roman" w:hAnsi="Times New Roman" w:cs="Times New Roman" w:eastAsia="Times New Roman"/>
                <w:u w:val="none"/>
              </w:rPr>
              <w:t/>
            </w:r>
            <w:r>
              <w:rPr>
                <w:sz w:val="32"/>
                <w:rFonts w:ascii="Times New Roman" w:hAnsi="Times New Roman" w:cs="Times New Roman" w:eastAsia="Times New Roman"/>
                <w:u w:val="none"/>
              </w:rPr>
              <w:t> гр. 1  формы 0503169</w:t>
            </w:r>
          </w:p>
        </w:tc>
        <w:tc>
          <w:tcPr>
            <w:tcW w:type="dxa" w:w="4284"/>
            <w:gridSpan w:val="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Сумма задолженности, руб.</w:t>
            </w:r>
          </w:p>
        </w:tc>
        <w:tc>
          <w:tcPr>
            <w:tcW w:type="dxa" w:w="2142"/>
            <w:vMerge w:val="restart"/>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Расшифровка кредиторской задолженности   (что учтено по счету)</w:t>
            </w:r>
          </w:p>
        </w:tc>
        <w:tc>
          <w:tcPr>
            <w:tcW w:type="dxa" w:w="2142"/>
            <w:vMerge w:val="restart"/>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Причина увеличения задолженности на отчетную дату в сравнении с данными за аналогичный отчетный период прошлого финансового года (гр.3 - гр.2)</w:t>
            </w:r>
          </w:p>
        </w:tc>
      </w:tr>
      <w:tr>
        <w:tc>
          <w:tcPr>
            <w:tcW w:type="dxa" w:w="2142"/>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Данные за аналогичный отчетный период прошлого финансового года (на 01.01.2025) гр.2 форм 0503169(769) </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Данные за отчетный период</w:t>
            </w:r>
            <w:r>
              <w:rPr>
                <w:sz w:val="32"/>
                <w:rFonts w:ascii="Times New Roman" w:hAnsi="Times New Roman" w:cs="Times New Roman" w:eastAsia="Times New Roman"/>
                <w:u w:val="none"/>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32"/>
                <w:rFonts w:ascii="Times New Roman" w:hAnsi="Times New Roman" w:cs="Times New Roman" w:eastAsia="Times New Roman"/>
                <w:u w:val="none"/>
              </w:rPr>
              <w:t/>
            </w:r>
            <w:r>
              <w:rPr>
                <w:sz w:val="32"/>
                <w:rFonts w:ascii="Times New Roman" w:hAnsi="Times New Roman" w:cs="Times New Roman" w:eastAsia="Times New Roman"/>
                <w:u w:val="none"/>
              </w:rPr>
              <w:t> (на 01.01.2026)</w:t>
            </w:r>
          </w:p>
        </w:tc>
        <w:tc>
          <w:tcPr>
            <w:tcW w:type="dxa" w:w="2142"/>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2142"/>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r>
      <w:tr>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1</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2</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3</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4</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5</w:t>
            </w:r>
          </w:p>
        </w:tc>
      </w:tr>
      <w:tr>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 1     20512000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195 000,00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35 000,00</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оплата госпошлины за установку рекламных конструкций</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r>
      <w:tr>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 1     20529000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3 721 039,64</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5 128 982,91</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w:t>
            </w:r>
          </w:p>
        </w:tc>
        <w:tc>
          <w:tcPr>
            <w:tcW w:type="dxa" w:w="214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увеличение связано с поступлением авансовых платежей в счет уплаты задолженности за январь 2026</w:t>
            </w:r>
          </w:p>
        </w:tc>
      </w:tr>
      <w:tr>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b w:val="on"/>
              </w:rPr>
              <w:t>Итого по счету 1 205000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b w:val="on"/>
              </w:rPr>
              <w:t>3 916 039,64</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b w:val="on"/>
              </w:rPr>
              <w:t>5 163 982,91</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r>
      <w:tr>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 1     20821000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404,00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0,00</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задолженность за почтовые отправления</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r>
      <w:tr>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b w:val="on"/>
              </w:rPr>
              <w:t>Итого по счету 1 208000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b w:val="on"/>
              </w:rPr>
              <w:t>404,00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b w:val="on"/>
              </w:rPr>
              <w:t>0,00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r>
      <w:tr>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 1     20941000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8 423,49</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0,00</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оплата пени за неисполнение условий договоров по плате за установку рекламных конструкций и НТО</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r>
      <w:tr>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b w:val="on"/>
              </w:rPr>
              <w:t>Итого по счету 1 209000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b w:val="on"/>
              </w:rPr>
              <w:t>8 423,49</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b w:val="on"/>
              </w:rPr>
              <w:t>0,00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r>
      <w:tr>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 1     30221000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7 489,80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586,60</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отправка почтовой корреспонденции </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rPr>
                <w:shd w:fill="FFFFFF"/>
              </w:rPr>
              <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rPr>
                <w:shd w:fill="FFFFFF"/>
              </w:rPr>
              <w:t/>
            </w:r>
          </w:p>
        </w:tc>
      </w:tr>
      <w:tr>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 1     30225000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780,00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8 100,00</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заправка картриджа </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color w:val="000000"/>
              </w:rPr>
              <w:rPr>
                <w:shd w:fill="FFFFFF"/>
              </w:rPr>
              <w:t>отсутствие необходимости заправки картриджей</w:t>
            </w:r>
          </w:p>
        </w:tc>
      </w:tr>
      <w:tr>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 1     30234000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1 840,00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675,00</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вода бутилированная</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rPr>
                <w:shd w:fill="FFFFFF"/>
              </w:rPr>
              <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rPr>
                <w:shd w:fill="FFFFFF"/>
              </w:rPr>
              <w:t/>
            </w:r>
          </w:p>
        </w:tc>
      </w:tr>
      <w:tr>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 1     30297000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266 466,75</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0,00</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оплата по исполнительному листу</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rPr>
                <w:shd w:fill="FFFFFF"/>
              </w:rPr>
              <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rPr>
                <w:shd w:fill="FFFFFF"/>
              </w:rPr>
              <w:t/>
            </w:r>
          </w:p>
        </w:tc>
      </w:tr>
      <w:tr>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b w:val="on"/>
              </w:rPr>
              <w:t>Итого по счету 1 302000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6"/>
                <w:rFonts w:ascii="Times New Roman" w:hAnsi="Times New Roman" w:cs="Times New Roman" w:eastAsia="Times New Roman"/>
                <w:u w:val="none"/>
                <w:b w:val="on"/>
              </w:rPr>
              <w:t>276 576,55</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6"/>
                <w:rFonts w:ascii="Times New Roman" w:hAnsi="Times New Roman" w:cs="Times New Roman" w:eastAsia="Times New Roman"/>
                <w:u w:val="none"/>
                <w:b w:val="on"/>
              </w:rPr>
              <w:t>9 361,60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r>
      <w:tr>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 1     30306000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6"/>
                <w:rFonts w:ascii="Times New Roman" w:hAnsi="Times New Roman" w:cs="Times New Roman" w:eastAsia="Times New Roman"/>
                <w:u w:val="none"/>
              </w:rPr>
              <w:t>4 645,65</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6"/>
                <w:rFonts w:ascii="Times New Roman" w:hAnsi="Times New Roman" w:cs="Times New Roman" w:eastAsia="Times New Roman"/>
                <w:u w:val="none"/>
              </w:rPr>
              <w:t>4 041,39</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взносы в СФР НС и ПЗ </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rPr>
                <w:shd w:fill="FFFFFF"/>
              </w:rPr>
              <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rPr>
                <w:shd w:fill="FFFFFF"/>
              </w:rPr>
              <w:t/>
            </w:r>
          </w:p>
        </w:tc>
      </w:tr>
      <w:tr>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t> 1     30315000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6"/>
                <w:rFonts w:ascii="Times New Roman" w:hAnsi="Times New Roman" w:cs="Times New Roman" w:eastAsia="Times New Roman"/>
                <w:u w:val="none"/>
              </w:rPr>
              <w:t>696 845,16</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6"/>
                <w:rFonts w:ascii="Times New Roman" w:hAnsi="Times New Roman" w:cs="Times New Roman" w:eastAsia="Times New Roman"/>
                <w:u w:val="none"/>
              </w:rPr>
              <w:t>606 202,16</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32"/>
                <w:rFonts w:ascii="Times New Roman" w:hAnsi="Times New Roman" w:cs="Times New Roman" w:eastAsia="Times New Roman"/>
                <w:u w:val="none"/>
              </w:rPr>
              <w:rPr>
                <w:shd w:fill="FFFFFF"/>
              </w:rPr>
              <w:t>взносы по единому страховому тарифу</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rPr>
                <w:shd w:fill="FFFFFF"/>
              </w:rPr>
              <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rPr>
                <w:shd w:fill="FFFFFF"/>
              </w:rPr>
              <w:t/>
            </w:r>
          </w:p>
        </w:tc>
      </w:tr>
      <w:tr>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b w:val="on"/>
              </w:rPr>
              <w:t>Итого по счету 1 303000</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6"/>
                <w:rFonts w:ascii="Times New Roman" w:hAnsi="Times New Roman" w:cs="Times New Roman" w:eastAsia="Times New Roman"/>
                <w:u w:val="none"/>
                <w:b w:val="on"/>
              </w:rPr>
              <w:t>701 490,81</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6"/>
                <w:rFonts w:ascii="Times New Roman" w:hAnsi="Times New Roman" w:cs="Times New Roman" w:eastAsia="Times New Roman"/>
                <w:u w:val="none"/>
                <w:b w:val="on"/>
              </w:rPr>
              <w:t>610 243,55</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r>
      <w:tr>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32"/>
                <w:rFonts w:ascii="Times New Roman" w:hAnsi="Times New Roman" w:cs="Times New Roman" w:eastAsia="Times New Roman"/>
                <w:u w:val="none"/>
                <w:b w:val="on"/>
              </w:rPr>
              <w:t>Всего</w:t>
            </w:r>
          </w:p>
        </w:tc>
        <w:tc>
          <w:tcPr>
            <w:tcW w:type="dxa" w:w="2142"/>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4 902 934,49</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5 783 588,06</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2142"/>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r>
              <w:rPr>
                <w:sz w:val="28"/>
                <w:rFonts w:ascii="Times New Roman" w:hAnsi="Times New Roman" w:cs="Times New Roman" w:eastAsia="Times New Roman"/>
                <w:u w:val="none"/>
              </w:rPr>
              <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r>
    </w:tbl>
    <w:p>
      <w:pPr>
        <w:spacing w:before="0" w:after="0"/>
      </w:pPr>
      <w:r>
        <w:rPr/>
      </w:r>
      <w:r>
        <w:rPr>
          <w:u w:val="none"/>
        </w:rPr>
      </w:r>
      <w:r>
        <w:rPr>
          <w:u w:val="none"/>
          <w:sz w:val="24"/>
        </w:rPr>
        <w:t/>
      </w:r>
    </w:p>
    <w:p>
      <w:pPr>
        <w:spacing w:before="0" w:after="0"/>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         Просроченная кредиторская задолженность по расходам отсутствует, вся задолженность является текущей.</w:t>
      </w:r>
    </w:p>
    <w:p>
      <w:pPr>
        <w:spacing w:before="0" w:after="0"/>
      </w:pPr>
      <w:r>
        <w:rPr/>
      </w:r>
      <w:r>
        <w:rPr>
          <w:u w:val="none"/>
        </w:rPr>
      </w:r>
      <w:r>
        <w:rPr>
          <w:u w:val="none"/>
          <w:sz w:val="24"/>
        </w:rPr>
        <w:t/>
      </w:r>
    </w:p>
    <w:p>
      <w:pPr>
        <w:spacing w:before="0" w:after="0"/>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         Форма 0503173 «Сведения об изменении остатков валюты баланса». В результате исправления ошибок прошлых лет изменились входящие остатки по балансовым счетам. В форме в разделе 4 отражены причины исправления ошибок. Расшифровка причины изменения по забалансовым счетам приведена в таблице ниже:</w:t>
      </w:r>
    </w:p>
    <w:tbl>
      <w:tblPr>
        <w:tblW w:w="10711" w:type="dxa"/>
        <w:tblBorders>
          <w:top w:val="single" w:sz="8"/>
          <w:left w:val="single" w:sz="8"/>
          <w:bottom w:val="single" w:sz="8"/>
          <w:right w:val="single" w:sz="8"/>
          <w:insideH w:val="single" w:sz="8"/>
          <w:insideV w:val="single" w:sz="8"/>
        </w:tblBorders>
        <w:tblLayout w:type="fixed"/>
      </w:tblPr>
      <w:tblGrid>
        <w:gridCol w:w="1190"/>
        <w:gridCol w:w="1190"/>
        <w:gridCol w:w="1190"/>
        <w:gridCol w:w="1190"/>
        <w:gridCol w:w="1190"/>
        <w:gridCol w:w="1190"/>
        <w:gridCol w:w="1190"/>
        <w:gridCol w:w="1190"/>
        <w:gridCol w:w="1190"/>
      </w:tblGrid>
      <w:tr>
        <w:trPr>
          <w:tblHeader/>
        </w:trPr>
        <w:tc>
          <w:tcPr>
            <w:tcW w:type="dxa" w:w="1190"/>
            <w:vMerge w:val="restart"/>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Номер счета </w:t>
            </w:r>
          </w:p>
        </w:tc>
        <w:tc>
          <w:tcPr>
            <w:tcW w:type="dxa" w:w="1190"/>
            <w:vMerge w:val="restart"/>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rPr>
                <w:shd w:fill="FFFFFF"/>
              </w:rPr>
              <w:t>Код строки</w:t>
            </w:r>
          </w:p>
        </w:tc>
        <w:tc>
          <w:tcPr>
            <w:tcW w:type="dxa" w:w="1190"/>
            <w:vMerge w:val="restart"/>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rPr>
                <w:shd w:fill="FFFFFF"/>
              </w:rPr>
              <w:t>Сумма изменений, руб</w:t>
            </w:r>
          </w:p>
        </w:tc>
        <w:tc>
          <w:tcPr>
            <w:tcW w:type="dxa" w:w="7140"/>
            <w:gridSpan w:val="6"/>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в том числе по коду причины 03, руб.</w:t>
            </w:r>
          </w:p>
        </w:tc>
      </w:tr>
      <w:tr>
        <w:tc>
          <w:tcPr>
            <w:tcW w:type="dxa" w:w="1190"/>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1190"/>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1190"/>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1190"/>
            <w:vMerge w:val="restart"/>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Несвоевременное поступление первичных учетных документов 03.1</w:t>
            </w:r>
          </w:p>
        </w:tc>
        <w:tc>
          <w:tcPr>
            <w:tcW w:type="dxa" w:w="1190"/>
            <w:vMerge w:val="restart"/>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Несвоевременное отражение фактов хозяйственной жизни в регистрах бухгалтерского учета 03.2</w:t>
            </w:r>
          </w:p>
        </w:tc>
        <w:tc>
          <w:tcPr>
            <w:tcW w:type="dxa" w:w="1190"/>
            <w:vMerge w:val="restart"/>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Ошибки в применении счетов бухгалтерского учета 03.3</w:t>
            </w:r>
          </w:p>
        </w:tc>
        <w:tc>
          <w:tcPr>
            <w:tcW w:type="dxa" w:w="1190"/>
            <w:vMerge w:val="restart"/>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Ошибки, допущенные при отражении бухгалтерских записей на основании первичных учетных документов (за исключением ошибок в применении счетов бухгалтерского учета) 03.4  </w:t>
            </w:r>
          </w:p>
        </w:tc>
        <w:tc>
          <w:tcPr>
            <w:tcW w:type="dxa" w:w="2380"/>
            <w:gridSpan w:val="2"/>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Иные причины 03.5</w:t>
            </w:r>
          </w:p>
        </w:tc>
      </w:tr>
      <w:tr>
        <w:tc>
          <w:tcPr>
            <w:tcW w:type="dxa" w:w="1190"/>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1190"/>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1190"/>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1190"/>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1190"/>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1190"/>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1190"/>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none"/>
              </w:rPr>
              <w:t/>
            </w:r>
          </w:p>
        </w:tc>
        <w:tc>
          <w:tcPr>
            <w:tcW w:type="dxa" w:w="1190"/>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Сумма, руб.</w:t>
            </w:r>
          </w:p>
        </w:tc>
        <w:tc>
          <w:tcPr>
            <w:tcW w:type="dxa" w:w="1190"/>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Содержание исправления/изменения</w:t>
            </w:r>
          </w:p>
        </w:tc>
      </w:tr>
      <w:tr>
        <w:tc>
          <w:tcPr>
            <w:tcW w:type="dxa" w:w="1190"/>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1</w:t>
            </w:r>
          </w:p>
        </w:tc>
        <w:tc>
          <w:tcPr>
            <w:tcW w:type="dxa" w:w="1190"/>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2</w:t>
            </w:r>
          </w:p>
        </w:tc>
        <w:tc>
          <w:tcPr>
            <w:tcW w:type="dxa" w:w="1190"/>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3</w:t>
            </w:r>
          </w:p>
        </w:tc>
        <w:tc>
          <w:tcPr>
            <w:tcW w:type="dxa" w:w="1190"/>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4</w:t>
            </w:r>
          </w:p>
        </w:tc>
        <w:tc>
          <w:tcPr>
            <w:tcW w:type="dxa" w:w="1190"/>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5</w:t>
            </w:r>
          </w:p>
        </w:tc>
        <w:tc>
          <w:tcPr>
            <w:tcW w:type="dxa" w:w="1190"/>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6</w:t>
            </w:r>
          </w:p>
        </w:tc>
        <w:tc>
          <w:tcPr>
            <w:tcW w:type="dxa" w:w="1190"/>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7</w:t>
            </w:r>
          </w:p>
        </w:tc>
        <w:tc>
          <w:tcPr>
            <w:tcW w:type="dxa" w:w="1190"/>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8</w:t>
            </w:r>
          </w:p>
        </w:tc>
        <w:tc>
          <w:tcPr>
            <w:tcW w:type="dxa" w:w="1190"/>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9</w:t>
            </w:r>
          </w:p>
        </w:tc>
      </w:tr>
      <w:tr>
        <w:tc>
          <w:tcPr>
            <w:tcW w:type="dxa" w:w="1190"/>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Pr>
                <w:shd w:fill="FFFFFF"/>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rPr>
                <w:shd w:fill="FFFFFF"/>
              </w:rPr>
              <w:t>04</w:t>
            </w:r>
          </w:p>
        </w:tc>
        <w:tc>
          <w:tcPr>
            <w:tcW w:type="dxa" w:w="1190"/>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040</w:t>
            </w:r>
          </w:p>
        </w:tc>
        <w:tc>
          <w:tcPr>
            <w:tcW w:type="dxa" w:w="1190"/>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1 263,93</w:t>
            </w:r>
          </w:p>
        </w:tc>
        <w:tc>
          <w:tcPr>
            <w:tcW w:type="dxa" w:w="1190"/>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1 263,93</w:t>
            </w:r>
          </w:p>
        </w:tc>
        <w:tc>
          <w:tcPr>
            <w:tcW w:type="dxa" w:w="1190"/>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c>
          <w:tcPr>
            <w:tcW w:type="dxa" w:w="1190"/>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c>
          <w:tcPr>
            <w:tcW w:type="dxa" w:w="1190"/>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c>
          <w:tcPr>
            <w:tcW w:type="dxa" w:w="1190"/>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c>
          <w:tcPr>
            <w:tcW w:type="dxa" w:w="1190"/>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r>
    </w:tbl>
    <w:p>
      <w:pPr>
        <w:spacing w:before="0" w:after="0"/>
      </w:pPr>
      <w:r>
        <w:rPr/>
      </w:r>
      <w:r>
        <w:rPr>
          <w:u w:val="none"/>
        </w:rPr>
      </w:r>
      <w:r>
        <w:rPr>
          <w:u w:val="none"/>
          <w:sz w:val="24"/>
        </w:rPr>
        <w:t/>
      </w:r>
    </w:p>
    <w:p>
      <w:pPr>
        <w:spacing w:before="0" w:after="0"/>
        <w:ind w:firstLine="709"/>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Форма № 0503175 «Сведения о принятых и неисполненных обязательствах получателя бюджетных средств». Согласно подпункту б) пункта 18 приказа финансового управления администрации города Оренбурга от 18.03.2019 № 27 «Об установлении Порядка составления, представления бюджетной отчетности и сводной бухгалтерской отчетности» формирование показателей формы 0503175 «Сведения о принятых и неисполненных обязательствах получателя бюджетных средств» в части принятых и не исполненных бюджетных обязательств (денежных обязательств), отраженных по соответствующим строкам в </w:t>
      </w:r>
      <w:r>
        <w:rPr>
          <w:sz w:val="38"/>
          <w:rFonts w:ascii="Times New Roman" w:hAnsi="Times New Roman" w:cs="Times New Roman" w:eastAsia="Times New Roman"/>
          <w:u w:val="none"/>
          <w:strike w:val="off"/>
        </w:rPr>
        <w:t>графах 11</w:t>
      </w:r>
      <w:r>
        <w:rPr>
          <w:sz w:val="38"/>
          <w:rFonts w:ascii="Times New Roman" w:hAnsi="Times New Roman" w:cs="Times New Roman" w:eastAsia="Times New Roman"/>
          <w:u w:val="none"/>
        </w:rPr>
        <w:t>, </w:t>
      </w:r>
      <w:r>
        <w:rPr>
          <w:sz w:val="38"/>
          <w:rFonts w:ascii="Times New Roman" w:hAnsi="Times New Roman" w:cs="Times New Roman" w:eastAsia="Times New Roman"/>
          <w:u w:val="none"/>
          <w:strike w:val="off"/>
        </w:rPr>
        <w:t>12 раздела 1</w:t>
      </w:r>
      <w:r>
        <w:rPr>
          <w:sz w:val="38"/>
          <w:rFonts w:ascii="Times New Roman" w:hAnsi="Times New Roman" w:cs="Times New Roman" w:eastAsia="Times New Roman"/>
          <w:u w:val="none"/>
        </w:rPr>
        <w:t> «Бюджетные обязательства текущего (отчетного) финансового года по расходам» Отчета </w:t>
      </w:r>
      <w:r>
        <w:rPr>
          <w:sz w:val="38"/>
          <w:rFonts w:ascii="Times New Roman" w:hAnsi="Times New Roman" w:cs="Times New Roman" w:eastAsia="Times New Roman"/>
          <w:u w:val="none"/>
          <w:strike w:val="off"/>
        </w:rPr>
        <w:t>(ф. 0503128)</w:t>
      </w:r>
      <w:r>
        <w:rPr>
          <w:sz w:val="38"/>
          <w:rFonts w:ascii="Times New Roman" w:hAnsi="Times New Roman" w:cs="Times New Roman" w:eastAsia="Times New Roman"/>
          <w:u w:val="none"/>
        </w:rPr>
        <w:t>, размер которых составляет менее 500 000,00 рублей, показатели в </w:t>
      </w:r>
      <w:r>
        <w:rPr>
          <w:sz w:val="38"/>
          <w:rFonts w:ascii="Times New Roman" w:hAnsi="Times New Roman" w:cs="Times New Roman" w:eastAsia="Times New Roman"/>
          <w:u w:val="none"/>
          <w:strike w:val="off"/>
        </w:rPr>
        <w:t>разделах 1</w:t>
      </w:r>
      <w:r>
        <w:rPr>
          <w:sz w:val="38"/>
          <w:rFonts w:ascii="Times New Roman" w:hAnsi="Times New Roman" w:cs="Times New Roman" w:eastAsia="Times New Roman"/>
          <w:u w:val="none"/>
        </w:rPr>
        <w:t> и </w:t>
      </w:r>
      <w:r>
        <w:rPr>
          <w:sz w:val="38"/>
          <w:rFonts w:ascii="Times New Roman" w:hAnsi="Times New Roman" w:cs="Times New Roman" w:eastAsia="Times New Roman"/>
          <w:u w:val="none"/>
          <w:strike w:val="off"/>
        </w:rPr>
        <w:t>2</w:t>
      </w:r>
      <w:r>
        <w:rPr>
          <w:sz w:val="38"/>
          <w:rFonts w:ascii="Times New Roman" w:hAnsi="Times New Roman" w:cs="Times New Roman" w:eastAsia="Times New Roman"/>
          <w:u w:val="none"/>
        </w:rPr>
        <w:t> Сведений (ф. 0503175) не отражаются. </w:t>
      </w:r>
    </w:p>
    <w:p>
      <w:pPr>
        <w:spacing w:before="0" w:after="0"/>
        <w:ind w:firstLine="709"/>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 xml:space="preserve">В разделе 4 отражена экономия бюджетных средств по результатам торгов по Комитету </w:t>
      </w:r>
      <w:r>
        <w:rPr>
          <w:sz w:val="38"/>
          <w:rFonts w:ascii="Times New Roman" w:hAnsi="Times New Roman" w:cs="Times New Roman" w:eastAsia="Times New Roman"/>
          <w:u w:val="none"/>
        </w:rPr>
        <w:t>в сумме</w:t>
      </w:r>
      <w:r>
        <w:rPr>
          <w:sz w:val="38"/>
          <w:rFonts w:ascii="Times New Roman" w:hAnsi="Times New Roman" w:cs="Times New Roman" w:eastAsia="Times New Roman"/>
          <w:u w:val="none"/>
        </w:rPr>
        <w:t xml:space="preserve"> 8 062,50 руб. </w:t>
      </w:r>
    </w:p>
    <w:p>
      <w:pPr>
        <w:spacing w:before="0" w:after="0"/>
      </w:pPr>
      <w:r>
        <w:rPr/>
      </w:r>
      <w:r>
        <w:rPr>
          <w:u w:val="none"/>
        </w:rPr>
      </w:r>
      <w:r>
        <w:rPr>
          <w:u w:val="none"/>
          <w:sz w:val="24"/>
        </w:rPr>
        <w:t/>
      </w:r>
    </w:p>
    <w:p>
      <w:pPr>
        <w:spacing w:before="0" w:after="0"/>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 xml:space="preserve">         Форма № 0503178 «Сведения об остатках денежных средств на счетах получателя средств бюджета» </w:t>
      </w:r>
      <w:r>
        <w:rPr>
          <w:sz w:val="38"/>
          <w:rFonts w:ascii="Times New Roman" w:hAnsi="Times New Roman" w:cs="Times New Roman" w:eastAsia="Times New Roman"/>
          <w:u w:val="none"/>
          <w:i w:val="on"/>
        </w:rPr>
        <w:t>(средства во временном распоряжении)</w:t>
      </w:r>
      <w:r>
        <w:rPr>
          <w:sz w:val="38"/>
          <w:rFonts w:ascii="Times New Roman" w:hAnsi="Times New Roman" w:cs="Times New Roman" w:eastAsia="Times New Roman"/>
          <w:u w:val="none"/>
        </w:rPr>
        <w:t>. Форма в отчете представлена. В форме отражены остатки на начало и конец отчетного периода денежных средств за участие в торгах на право размещения нестационарного торгового объекта.</w:t>
      </w:r>
    </w:p>
    <w:p>
      <w:pPr>
        <w:spacing w:before="0" w:after="0"/>
      </w:pPr>
      <w:r>
        <w:rPr/>
      </w:r>
      <w:r>
        <w:rPr>
          <w:u w:val="none"/>
        </w:rPr>
      </w:r>
      <w:r>
        <w:rPr>
          <w:u w:val="none"/>
          <w:sz w:val="24"/>
        </w:rPr>
        <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n"/>
        </w:rPr>
        <w:t>Раздел 5 "Прочие вопросы деятельности субъекта бюджетной отчетности"</w:t>
      </w:r>
    </w:p>
    <w:p>
      <w:pPr>
        <w:spacing w:before="0" w:after="0"/>
        <w:ind w:firstLine="709"/>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Форма 0503296 «Сведения об исполнении судебных решений по денежным обязательствам бюджета». В форме отражены принятые и исполненные денежные обязательства по исполнительному производству: </w:t>
      </w:r>
    </w:p>
    <w:p>
      <w:pPr>
        <w:spacing w:before="0" w:after="0"/>
      </w:pPr>
      <w:r>
        <w:rPr/>
      </w:r>
      <w:r>
        <w:rPr>
          <w:u w:val="none"/>
        </w:rPr>
      </w:r>
      <w:r>
        <w:rPr>
          <w:u w:val="none"/>
          <w:sz w:val="24"/>
        </w:rPr>
        <w:t/>
      </w:r>
    </w:p>
    <w:tbl>
      <w:tblPr>
        <w:tblW w:w="10711" w:type="dxa"/>
        <w:tblBorders>
          <w:top w:val="single" w:sz="8"/>
          <w:left w:val="single" w:sz="8"/>
          <w:bottom w:val="single" w:sz="8"/>
          <w:right w:val="single" w:sz="8"/>
          <w:insideH w:val="single" w:sz="8"/>
          <w:insideV w:val="single" w:sz="8"/>
        </w:tblBorders>
        <w:tblLayout w:type="fixed"/>
      </w:tblPr>
      <w:tblGrid>
        <w:gridCol w:w="2677"/>
        <w:gridCol w:w="2677"/>
        <w:gridCol w:w="2677"/>
        <w:gridCol w:w="2677"/>
      </w:tblGrid>
      <w:tr>
        <w:trPr>
          <w:tblHeader/>
        </w:trPr>
        <w:tc>
          <w:tcPr>
            <w:tcW w:type="dxa" w:w="2677"/>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b w:val="on"/>
              </w:rPr>
              <w:t>№ п/п</w:t>
            </w:r>
          </w:p>
        </w:tc>
        <w:tc>
          <w:tcPr>
            <w:tcW w:type="dxa" w:w="2677"/>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b w:val="on"/>
              </w:rPr>
              <w:t>Сумма </w:t>
            </w:r>
          </w:p>
        </w:tc>
        <w:tc>
          <w:tcPr>
            <w:tcW w:type="dxa" w:w="2677"/>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b w:val="on"/>
              </w:rPr>
              <w:t>Наименование</w:t>
            </w:r>
            <w:r>
              <w:rPr>
                <w:sz w:val="26"/>
                <w:rFonts w:ascii="Times New Roman" w:hAnsi="Times New Roman" w:cs="Times New Roman" w:eastAsia="Times New Roman"/>
                <w:u w:val="none"/>
                <w:color w:val="000000"/>
                <w:b w:val="on"/>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color w:val="000000"/>
                <w:b w:val="on"/>
              </w:rPr>
              <w:t/>
            </w:r>
            <w:r>
              <w:rPr>
                <w:sz w:val="26"/>
                <w:rFonts w:ascii="Times New Roman" w:hAnsi="Times New Roman" w:cs="Times New Roman" w:eastAsia="Times New Roman"/>
                <w:u w:val="none"/>
                <w:color w:val="000000"/>
                <w:b w:val="on"/>
              </w:rPr>
              <w:t> получателя</w:t>
            </w:r>
          </w:p>
        </w:tc>
        <w:tc>
          <w:tcPr>
            <w:tcW w:type="dxa" w:w="2677"/>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b w:val="on"/>
              </w:rPr>
              <w:t>Назначение платежа</w:t>
            </w:r>
          </w:p>
        </w:tc>
      </w:tr>
      <w:tr>
        <w:tc>
          <w:tcPr>
            <w:tcW w:type="dxa" w:w="2677"/>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1</w:t>
            </w:r>
          </w:p>
        </w:tc>
        <w:tc>
          <w:tcPr>
            <w:tcW w:type="dxa" w:w="2677"/>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266 466,75 </w:t>
            </w:r>
          </w:p>
        </w:tc>
        <w:tc>
          <w:tcPr>
            <w:tcW w:type="dxa" w:w="2677"/>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ООО"Оренбургская сервисная компания"</w:t>
            </w:r>
          </w:p>
        </w:tc>
        <w:tc>
          <w:tcPr>
            <w:tcW w:type="dxa" w:w="2677"/>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color w:val="000000"/>
              </w:rPr>
              <w:t/>
            </w:r>
            <w:r>
              <w:rPr>
                <w:sz w:val="26"/>
                <w:rFonts w:ascii="Times New Roman" w:hAnsi="Times New Roman" w:cs="Times New Roman" w:eastAsia="Times New Roman"/>
                <w:u w:val="none"/>
                <w:color w:val="000000"/>
              </w:rPr>
              <w:t> Проценты за пользование денежными средствами,госпошлина по ИЛ № ФС 047698888 от 29.10.2024, дело №А47-21697/2023 от 12.09.2024</w:t>
            </w:r>
          </w:p>
        </w:tc>
      </w:tr>
      <w:tr>
        <w:tc>
          <w:tcPr>
            <w:tcW w:type="dxa" w:w="2677"/>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2</w:t>
            </w:r>
          </w:p>
        </w:tc>
        <w:tc>
          <w:tcPr>
            <w:tcW w:type="dxa" w:w="2677"/>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50 000,00 </w:t>
            </w:r>
          </w:p>
        </w:tc>
        <w:tc>
          <w:tcPr>
            <w:tcW w:type="dxa" w:w="2677"/>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ООО "МИР"</w:t>
            </w:r>
          </w:p>
        </w:tc>
        <w:tc>
          <w:tcPr>
            <w:tcW w:type="dxa" w:w="2677"/>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color w:val="000000"/>
              </w:rPr>
              <w:t/>
            </w:r>
            <w:r>
              <w:rPr>
                <w:sz w:val="26"/>
                <w:rFonts w:ascii="Times New Roman" w:hAnsi="Times New Roman" w:cs="Times New Roman" w:eastAsia="Times New Roman"/>
                <w:u w:val="none"/>
                <w:color w:val="000000"/>
              </w:rPr>
              <w:t>  Оплата судебных расходов по Исп листу № ФС 047701775 от 09.04.2025 (дело№А47-10762/2022 от 26.08.2024)</w:t>
            </w:r>
          </w:p>
        </w:tc>
      </w:tr>
      <w:tr>
        <w:tc>
          <w:tcPr>
            <w:tcW w:type="dxa" w:w="2677"/>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3</w:t>
            </w:r>
          </w:p>
        </w:tc>
        <w:tc>
          <w:tcPr>
            <w:tcW w:type="dxa" w:w="2677"/>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15 000,00 </w:t>
            </w:r>
          </w:p>
        </w:tc>
        <w:tc>
          <w:tcPr>
            <w:tcW w:type="dxa" w:w="2677"/>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Управление Судебного департамента в Оренбургской области</w:t>
            </w:r>
          </w:p>
        </w:tc>
        <w:tc>
          <w:tcPr>
            <w:tcW w:type="dxa" w:w="2677"/>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Оплата услуг судебной почерковедческой экспертизы (дело№2-244/2025) код НПА 0028</w:t>
            </w:r>
          </w:p>
        </w:tc>
      </w:tr>
      <w:tr>
        <w:tc>
          <w:tcPr>
            <w:tcW w:type="dxa" w:w="2677"/>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4</w:t>
            </w:r>
          </w:p>
        </w:tc>
        <w:tc>
          <w:tcPr>
            <w:tcW w:type="dxa" w:w="2677"/>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100 000,00 </w:t>
            </w:r>
          </w:p>
        </w:tc>
        <w:tc>
          <w:tcPr>
            <w:tcW w:type="dxa" w:w="2677"/>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ООО "Партнер Юг"</w:t>
            </w:r>
          </w:p>
        </w:tc>
        <w:tc>
          <w:tcPr>
            <w:tcW w:type="dxa" w:w="2677"/>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color w:val="000000"/>
              </w:rPr>
              <w:t/>
            </w:r>
            <w:r>
              <w:rPr>
                <w:sz w:val="26"/>
                <w:rFonts w:ascii="Times New Roman" w:hAnsi="Times New Roman" w:cs="Times New Roman" w:eastAsia="Times New Roman"/>
                <w:u w:val="none"/>
                <w:color w:val="000000"/>
              </w:rPr>
              <w:t> Оплата судебных расходов на оплату услуг представителя по Исп листу № ФС 047702854 от 10.06.2025(дело №А47-7245/2023 от 19.05.25)</w:t>
            </w:r>
          </w:p>
        </w:tc>
      </w:tr>
      <w:tr>
        <w:tc>
          <w:tcPr>
            <w:tcW w:type="dxa" w:w="2677"/>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5</w:t>
            </w:r>
          </w:p>
        </w:tc>
        <w:tc>
          <w:tcPr>
            <w:tcW w:type="dxa" w:w="2677"/>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151 499,60 </w:t>
            </w:r>
          </w:p>
        </w:tc>
        <w:tc>
          <w:tcPr>
            <w:tcW w:type="dxa" w:w="2677"/>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ИП Ливенцева Светлана Сергеевна</w:t>
            </w:r>
          </w:p>
        </w:tc>
        <w:tc>
          <w:tcPr>
            <w:tcW w:type="dxa" w:w="2677"/>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color w:val="000000"/>
              </w:rPr>
              <w:t/>
            </w:r>
            <w:r>
              <w:rPr>
                <w:sz w:val="26"/>
                <w:rFonts w:ascii="Times New Roman" w:hAnsi="Times New Roman" w:cs="Times New Roman" w:eastAsia="Times New Roman"/>
                <w:u w:val="none"/>
                <w:color w:val="000000"/>
              </w:rPr>
              <w:t> Оплата судебных расходов на оплату услуг представителя по Исп листу № ФС 047701480 от 12.05.2025(дело №А47-11318/2021 от 19.02.25)</w:t>
            </w:r>
          </w:p>
        </w:tc>
      </w:tr>
      <w:tr>
        <w:tc>
          <w:tcPr>
            <w:tcW w:type="dxa" w:w="2677"/>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6</w:t>
            </w:r>
          </w:p>
        </w:tc>
        <w:tc>
          <w:tcPr>
            <w:tcW w:type="dxa" w:w="2677"/>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100 000,00 </w:t>
            </w:r>
          </w:p>
        </w:tc>
        <w:tc>
          <w:tcPr>
            <w:tcW w:type="dxa" w:w="2677"/>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ООО "Партнер Юг"</w:t>
            </w:r>
          </w:p>
        </w:tc>
        <w:tc>
          <w:tcPr>
            <w:tcW w:type="dxa" w:w="2677"/>
          </w:tcPr>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rPr>
              <w:t/>
            </w:r>
          </w:p>
          <w:p>
            <w:pPr>
              <w:spacing w:before="0" w:after="0" w:lineRule="auto" w:line="240"/>
              <w:ind w:right="0" w:left="0" w:firstLine="0"/>
              <w:jc w:val="center"/>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color w:val="000000"/>
              </w:rPr>
              <w:t/>
            </w:r>
            <w:r>
              <w:rPr>
                <w:sz w:val="26"/>
                <w:rFonts w:ascii="Times New Roman" w:hAnsi="Times New Roman" w:cs="Times New Roman" w:eastAsia="Times New Roman"/>
                <w:u w:val="none"/>
                <w:color w:val="000000"/>
              </w:rPr>
              <w:t> (013 0412 7720092040 831 297 ) Оплата судебных расходов по Исп листу № ФС 051077116 от 09.09.2025 (дело№А47-17629/2023 от 23.07.2025)</w:t>
            </w:r>
          </w:p>
        </w:tc>
      </w:tr>
      <w:tr>
        <w:tc>
          <w:tcPr>
            <w:tcW w:type="dxa" w:w="2677"/>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b w:val="on"/>
              </w:rPr>
              <w:t>Итого </w:t>
            </w:r>
          </w:p>
        </w:tc>
        <w:tc>
          <w:tcPr>
            <w:tcW w:type="dxa" w:w="2677"/>
          </w:tcPr>
          <w:p>
            <w:pPr>
              <w:spacing w:before="0" w:after="0" w:lineRule="auto" w:line="240"/>
              <w:ind w:right="0" w:left="0" w:firstLine="0"/>
              <w:jc w:val="righ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color w:val="000000"/>
                <w:b w:val="on"/>
              </w:rPr>
              <w:t>682 966,35 </w:t>
            </w:r>
          </w:p>
        </w:tc>
        <w:tc>
          <w:tcPr>
            <w:tcW w:type="dxa" w:w="2677"/>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c>
          <w:tcPr>
            <w:tcW w:type="dxa" w:w="2677"/>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r>
              <w:rPr>
                <w:sz w:val="26"/>
                <w:rFonts w:ascii="Times New Roman" w:hAnsi="Times New Roman" w:cs="Times New Roman" w:eastAsia="Times New Roman"/>
                <w:u w:val="none"/>
              </w:rPr>
              <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r>
              <w:rPr>
                <w:sz w:val="26"/>
                <w:rFonts w:ascii="Times New Roman" w:hAnsi="Times New Roman" w:cs="Times New Roman" w:eastAsia="Times New Roman"/>
                <w:u w:val="none"/>
              </w:rPr>
            </w:r>
            <w:r>
              <w:rPr>
                <w:sz w:val="26"/>
                <w:rFonts w:ascii="Times New Roman" w:hAnsi="Times New Roman" w:cs="Times New Roman" w:eastAsia="Times New Roman"/>
                <w:u w:val="none"/>
              </w:rPr>
              <w:t/>
            </w:r>
          </w:p>
        </w:tc>
      </w:tr>
    </w:tbl>
    <w:p>
      <w:pPr>
        <w:spacing w:before="0" w:after="0"/>
        <w:ind w:firstLine="708"/>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rPr>
          <w:shd w:fill="FFFFFF"/>
        </w:rPr>
        <w:t>Перед составлением годовой бюджетной отчетности в Комитете проведена инвентаризация финансовых активов и обязательств. Счета бюджетного учета, указанные в решениях о проведении инвентаризации, имеющие нулевое сальдо, в инвентаризационные описи не включаются. По результатам проведенной инвентаризации расхождений не выявлено. </w:t>
      </w:r>
    </w:p>
    <w:p>
      <w:pPr>
        <w:spacing w:before="0" w:after="0"/>
        <w:ind w:firstLine="708"/>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rPr>
          <w:shd w:fill="FFFFFF"/>
        </w:rPr>
        <w:t>В Комитете издан </w:t>
      </w:r>
      <w:r>
        <w:rPr>
          <w:sz w:val="38"/>
          <w:rFonts w:ascii="Times New Roman" w:hAnsi="Times New Roman" w:cs="Times New Roman" w:eastAsia="Times New Roman"/>
          <w:u w:val="none"/>
        </w:rPr>
        <w:t>приказ «Об утверждении Положения о проведения инвентаризации в комитете потребительского рынка, услуг и развития предпринимательства». Информация о проведении инвентаризации приведена в таблице 16.</w:t>
      </w:r>
    </w:p>
    <w:p>
      <w:pPr>
        <w:spacing w:before="0" w:after="0"/>
        <w:jc w:val="both"/>
      </w:pPr>
      <w:r>
        <w:rPr/>
      </w:r>
      <w:r>
        <w:rPr>
          <w:u w:val="none"/>
          <w:rFonts w:ascii="Times New Roman" w:hAnsi="Times New Roman" w:cs="Times New Roman" w:eastAsia="Times New Roman"/>
        </w:rPr>
      </w:r>
      <w:r>
        <w:rPr>
          <w:rFonts w:ascii="Times New Roman" w:hAnsi="Times New Roman" w:cs="Times New Roman" w:eastAsia="Times New Roman"/>
          <w:u w:val="none"/>
          <w:sz w:val="24"/>
        </w:rPr>
        <w:t/>
      </w:r>
      <w:r>
        <w:rPr>
          <w:rFonts w:ascii="Times New Roman" w:hAnsi="Times New Roman" w:cs="Times New Roman" w:eastAsia="Times New Roman"/>
          <w:u w:val="none"/>
          <w:sz w:val="38"/>
        </w:rPr>
        <w:t>        Бюджетный учет в Комитете осуществляется в соответствии с Федеральным законом от 06.12.2011 </w:t>
      </w:r>
      <w:r>
        <w:rPr>
          <w:rFonts w:ascii="Times New Roman" w:hAnsi="Times New Roman" w:cs="Times New Roman" w:eastAsia="Times New Roman"/>
          <w:u w:val="none"/>
          <w:sz w:val="38"/>
          <w:strike w:val="off"/>
        </w:rPr>
        <w:t>№ 402-ФЗ</w:t>
      </w:r>
      <w:r>
        <w:rPr>
          <w:rFonts w:ascii="Times New Roman" w:hAnsi="Times New Roman" w:cs="Times New Roman" w:eastAsia="Times New Roman"/>
          <w:u w:val="none"/>
          <w:sz w:val="38"/>
        </w:rPr>
        <w:t> «О бухгалтерском учете»,  приказом Минфина России от 01.12.2010 </w:t>
      </w:r>
      <w:r>
        <w:rPr>
          <w:rFonts w:ascii="Times New Roman" w:hAnsi="Times New Roman" w:cs="Times New Roman" w:eastAsia="Times New Roman"/>
          <w:u w:val="none"/>
          <w:sz w:val="38"/>
          <w:strike w:val="off"/>
        </w:rPr>
        <w:t>№ 157н</w:t>
      </w:r>
      <w:r>
        <w:rPr>
          <w:rFonts w:ascii="Times New Roman" w:hAnsi="Times New Roman" w:cs="Times New Roman" w:eastAsia="Times New Roman"/>
          <w:u w:val="none"/>
          <w:sz w:val="38"/>
        </w:rPr>
        <w:t>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приказом Минфина России от 06.12.2010 </w:t>
      </w:r>
      <w:r>
        <w:rPr>
          <w:rFonts w:ascii="Times New Roman" w:hAnsi="Times New Roman" w:cs="Times New Roman" w:eastAsia="Times New Roman"/>
          <w:u w:val="none"/>
          <w:sz w:val="38"/>
          <w:strike w:val="off"/>
        </w:rPr>
        <w:t>№ 162н</w:t>
      </w:r>
      <w:r>
        <w:rPr>
          <w:rFonts w:ascii="Times New Roman" w:hAnsi="Times New Roman" w:cs="Times New Roman" w:eastAsia="Times New Roman"/>
          <w:u w:val="none"/>
          <w:sz w:val="38"/>
        </w:rPr>
        <w:t> «Об утверждении плана счетов бюджетного учета и Инструкции по его применению», федеральными стандартами бухгалтерского учета для организаций государственного сектора,   и иными нормативными правовыми актами Российской Федерации, регулирующими вопросы бухгалтерского учета, приказом финансового управления администрации города Оренбурга от 01.08.2023 № 74 «Об утверждении единой учетной политики при централизации учета». </w:t>
      </w:r>
      <w:r>
        <w:rPr>
          <w:rFonts w:ascii="Times New Roman" w:hAnsi="Times New Roman" w:cs="Times New Roman" w:eastAsia="Times New Roman"/>
          <w:u w:val="none"/>
          <w:sz w:val="36"/>
        </w:rPr>
        <w:t> </w:t>
      </w:r>
      <w:r>
        <w:rPr>
          <w:rFonts w:ascii="Times New Roman" w:hAnsi="Times New Roman" w:cs="Times New Roman" w:eastAsia="Times New Roman"/>
          <w:u w:val="none"/>
          <w:sz w:val="36"/>
          <w:color w:val="000000"/>
        </w:rPr>
        <w:t>Сведения об основных положениях учетной политики представлены в Таблице 4.</w:t>
      </w:r>
    </w:p>
    <w:p>
      <w:pPr>
        <w:spacing w:before="0" w:after="0"/>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           Учет исполнения бюджета осуществляется в порядке, установленном приказами Минфина РФ:</w:t>
      </w:r>
    </w:p>
    <w:p>
      <w:pPr>
        <w:spacing w:before="0" w:after="0"/>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         от 29.11.2017 № 209н «Об утверждении Порядка применения классификации операций сектора государственного управления»;</w:t>
      </w:r>
    </w:p>
    <w:p>
      <w:pPr>
        <w:spacing w:before="0" w:after="0"/>
        <w:ind w:firstLine="709"/>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от 24.05.2022 № 82н «О Порядке формирования и применения кодов бюджетной классификации Российской Федерации, их структуре и принципах назначения».</w:t>
      </w:r>
    </w:p>
    <w:p>
      <w:pPr>
        <w:spacing w:before="0" w:after="0"/>
        <w:ind w:firstLine="709"/>
        <w:jc w:val="both"/>
      </w:pPr>
      <w:r>
        <w:rPr/>
      </w:r>
      <w:r>
        <w:rPr>
          <w:u w:val="none"/>
        </w:rPr>
      </w:r>
      <w:r>
        <w:rPr>
          <w:u w:val="none"/>
          <w:sz w:val="24"/>
        </w:rPr>
        <w:t/>
      </w:r>
      <w:r>
        <w:rPr>
          <w:u w:val="none"/>
          <w:sz w:val="38"/>
        </w:rPr>
        <w:t>А</w:t>
      </w:r>
      <w:r>
        <w:rPr>
          <w:u w:val="none"/>
          <w:sz w:val="38"/>
          <w:rFonts w:ascii="Times New Roman" w:hAnsi="Times New Roman" w:cs="Times New Roman" w:eastAsia="Times New Roman"/>
        </w:rPr>
        <w:t> также в соответствии муниципальными правовыми актами:</w:t>
      </w:r>
    </w:p>
    <w:p>
      <w:pPr>
        <w:spacing w:before="0" w:after="0"/>
        <w:ind w:firstLine="709"/>
        <w:jc w:val="both"/>
      </w:pPr>
      <w:r>
        <w:rPr/>
      </w:r>
      <w:r>
        <w:rPr>
          <w:u w:val="none"/>
        </w:rPr>
      </w:r>
      <w:r>
        <w:rPr>
          <w:u w:val="none"/>
          <w:sz w:val="24"/>
        </w:rPr>
        <w:t/>
      </w:r>
      <w:r>
        <w:rPr>
          <w:u w:val="none"/>
          <w:sz w:val="38"/>
          <w:rFonts w:ascii="Times New Roman" w:hAnsi="Times New Roman" w:cs="Times New Roman" w:eastAsia="Times New Roman"/>
        </w:rPr>
        <w:t>приказом финансового управления администрации города Оренбурга от 03.11.2022 № 94 «Об утверждении порядка применения бюджетной классификации Российской Федерации, в части относящейся к доходам бюджета города Оренбурга, и об утверждении перечня кодов подвидов по видам доходов»;</w:t>
      </w:r>
    </w:p>
    <w:p>
      <w:pPr>
        <w:spacing w:before="0" w:after="0"/>
        <w:ind w:firstLine="709"/>
        <w:jc w:val="both"/>
      </w:pPr>
      <w:r>
        <w:rPr/>
      </w:r>
      <w:r>
        <w:rPr>
          <w:u w:val="none"/>
        </w:rPr>
      </w:r>
      <w:r>
        <w:rPr>
          <w:u w:val="none"/>
          <w:sz w:val="24"/>
        </w:rPr>
        <w:t/>
      </w:r>
      <w:r>
        <w:rPr>
          <w:u w:val="none"/>
          <w:sz w:val="38"/>
          <w:rFonts w:ascii="Times New Roman" w:hAnsi="Times New Roman" w:cs="Times New Roman" w:eastAsia="Times New Roman"/>
        </w:rPr>
        <w:t>приказом финансового управления администрации города Оренбурга от 30.10.2023 № 108/1 «Об утверждении Указаний о порядке применения целевых статей расходов бюджета города Оренбурга».</w:t>
      </w:r>
    </w:p>
    <w:p>
      <w:pPr>
        <w:spacing w:before="0" w:after="0"/>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         - приказом финансового управления администрации города Оренбурга от </w:t>
      </w:r>
      <w:r>
        <w:rPr>
          <w:sz w:val="38"/>
          <w:rFonts w:ascii="Times New Roman" w:hAnsi="Times New Roman" w:cs="Times New Roman" w:eastAsia="Times New Roman"/>
          <w:u w:val="none"/>
        </w:rPr>
        <w:t>18.03.2019 № 27  «Об установлении П</w:t>
      </w:r>
      <w:r>
        <w:rPr>
          <w:sz w:val="38"/>
          <w:rFonts w:ascii="Times New Roman" w:hAnsi="Times New Roman" w:cs="Times New Roman" w:eastAsia="Times New Roman"/>
          <w:u w:val="none"/>
        </w:rPr>
        <w:t>орядка составления  и представления бюджетной отчетности  и сводной бухгалтерской отчетности»;</w:t>
      </w:r>
    </w:p>
    <w:p>
      <w:pPr>
        <w:spacing w:before="0" w:after="0"/>
        <w:ind w:firstLine="709"/>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 приказом финансового управления от 25.12.2025</w:t>
      </w:r>
      <w:r>
        <w:rPr>
          <w:sz w:val="38"/>
          <w:rFonts w:ascii="Times New Roman" w:hAnsi="Times New Roman" w:cs="Times New Roman" w:eastAsia="Times New Roman"/>
          <w:u w:val="none"/>
        </w:rPr>
        <w:t>  № 94 «О сроках  представления сводной бюджетной отчётности и сводной бухгалтерской отчётности за 2025 год»</w:t>
      </w:r>
      <w:r>
        <w:rPr>
          <w:sz w:val="38"/>
          <w:rFonts w:ascii="Times New Roman" w:hAnsi="Times New Roman" w:cs="Times New Roman" w:eastAsia="Times New Roman"/>
          <w:u w:val="none"/>
          <w:color w:val="000000"/>
        </w:rPr>
        <w:t>.</w:t>
      </w:r>
    </w:p>
    <w:p>
      <w:pPr>
        <w:spacing w:before="0" w:after="0"/>
        <w:ind w:firstLine="709"/>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w:t>
      </w:r>
    </w:p>
    <w:p>
      <w:pPr>
        <w:spacing w:before="0" w:after="0"/>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color w:val="000000"/>
        </w:rPr>
        <w:t>         В соответствии с СГС «</w:t>
      </w:r>
      <w:r>
        <w:rPr>
          <w:sz w:val="38"/>
          <w:rFonts w:ascii="Times New Roman" w:hAnsi="Times New Roman" w:cs="Times New Roman" w:eastAsia="Times New Roman"/>
          <w:u w:val="none"/>
        </w:rPr>
        <w:t>Представление бухгалтерской (финансовой) отчетности» от 31 декабря 2016 г. № 260н осуществлялось размещение на сайте Администрации города Оренбурга бу</w:t>
      </w:r>
      <w:r>
        <w:rPr>
          <w:sz w:val="38"/>
          <w:rFonts w:ascii="Times New Roman" w:hAnsi="Times New Roman" w:cs="Times New Roman" w:eastAsia="Times New Roman"/>
          <w:u w:val="none"/>
          <w:color w:val="000000"/>
        </w:rPr>
        <w:t>хгалтерской (финансовой) отчетности Комитета за 2024 год. </w:t>
      </w:r>
    </w:p>
    <w:p>
      <w:pPr>
        <w:spacing w:before="0" w:after="0"/>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         Бюджетная отчетность составляется и предоставляется в соответствии с приказом Министерства финансов РФ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Отчетность предоставляется с применением информационной системы «Веб-консолидация». </w:t>
      </w:r>
    </w:p>
    <w:p>
      <w:pPr>
        <w:spacing w:before="0" w:after="0"/>
        <w:ind w:firstLine="566"/>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Бюджетный учет исполнения бюджетной сметы осуществлялся с применением системы автоматизации АИС «Веб-исполнение» и системы автоматизации бухгалтерского учета «1С:Бухгалтерия 8.2».</w:t>
      </w:r>
    </w:p>
    <w:p>
      <w:pPr>
        <w:spacing w:before="0" w:after="0"/>
      </w:pPr>
      <w:r>
        <w:rPr/>
      </w:r>
      <w:r>
        <w:rPr>
          <w:u w:val="none"/>
        </w:rPr>
      </w:r>
      <w:r>
        <w:rPr>
          <w:u w:val="none"/>
          <w:sz w:val="24"/>
        </w:rPr>
        <w:t/>
      </w:r>
    </w:p>
    <w:p>
      <w:pPr>
        <w:spacing w:before="0" w:after="0"/>
        <w:ind w:firstLine="709"/>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Формы, которые не содержат числовых и текстовых показателей, а также в связи с отсутствием расхождений, в состав отчетности об исполнении бюджета за отчетный период не включаются и указаны в Таблице № 16, </w:t>
      </w:r>
      <w:r>
        <w:rPr>
          <w:sz w:val="38"/>
          <w:rFonts w:ascii="Times New Roman" w:hAnsi="Times New Roman" w:cs="Times New Roman" w:eastAsia="Times New Roman"/>
          <w:u w:val="none"/>
        </w:rPr>
        <w:t>сводные Справки формы 0503125 по  кодам счетов, указанных  в   пунктах  39, 40 Инструкции № 191н, </w:t>
      </w:r>
    </w:p>
    <w:p>
      <w:pPr>
        <w:spacing w:before="0" w:after="0"/>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         Таблица 14 «Анализ показателей отчетности субъекта бюджетной отчетности».</w:t>
      </w:r>
    </w:p>
    <w:p>
      <w:pPr>
        <w:spacing w:before="0" w:after="0"/>
      </w:pPr>
      <w:r>
        <w:rPr/>
      </w:r>
      <w:r>
        <w:rPr>
          <w:u w:val="none"/>
        </w:rPr>
      </w:r>
      <w:r>
        <w:rPr>
          <w:u w:val="none"/>
          <w:sz w:val="24"/>
        </w:rPr>
        <w:t/>
      </w:r>
    </w:p>
    <w:p>
      <w:pPr>
        <w:spacing w:before="0" w:after="0"/>
        <w:ind w:right="0" w:left="0"/>
        <w:jc w:val="both"/>
      </w:pPr>
      <w:r>
        <w:rPr/>
      </w:r>
      <w:r>
        <w:rPr>
          <w:u w:val="none"/>
          <w:sz w:val="32"/>
          <w:rFonts w:ascii="Times New Roman CYR" w:hAnsi="Times New Roman CYR" w:cs="Times New Roman CYR" w:eastAsia="Times New Roman CYR"/>
          <w:color w:val="26282F"/>
          <w:b w:val="on"/>
        </w:rPr>
      </w:r>
      <w:r>
        <w:rPr>
          <w:sz w:val="32"/>
          <w:rFonts w:ascii="Times New Roman CYR" w:hAnsi="Times New Roman CYR" w:cs="Times New Roman CYR" w:eastAsia="Times New Roman CYR"/>
          <w:color w:val="26282F"/>
          <w:b w:val="on"/>
          <w:u w:val="none"/>
        </w:rPr>
        <w:t/>
      </w:r>
      <w:r>
        <w:rPr>
          <w:sz w:val="38"/>
          <w:rFonts w:ascii="Times New Roman CYR" w:hAnsi="Times New Roman CYR" w:cs="Times New Roman CYR" w:eastAsia="Times New Roman CYR"/>
          <w:color w:val="26282F"/>
          <w:b w:val="on"/>
          <w:u w:val="none"/>
        </w:rPr>
        <w:t>         </w:t>
      </w:r>
    </w:p>
    <w:p>
      <w:pPr>
        <w:spacing w:before="0" w:after="0"/>
      </w:pPr>
      <w:r>
        <w:rPr/>
      </w:r>
      <w:r>
        <w:rPr>
          <w:u w:val="none"/>
        </w:rPr>
      </w:r>
      <w:r>
        <w:rPr>
          <w:u w:val="none"/>
          <w:sz w:val="24"/>
        </w:rPr>
        <w:t/>
      </w:r>
    </w:p>
    <w:p>
      <w:pPr>
        <w:spacing w:before="0" w:after="0"/>
      </w:pPr>
      <w:r>
        <w:rPr/>
      </w:r>
      <w:r>
        <w:rPr>
          <w:u w:val="none"/>
        </w:rPr>
      </w:r>
      <w:r>
        <w:rPr>
          <w:u w:val="none"/>
          <w:sz w:val="24"/>
        </w:rPr>
        <w:t/>
      </w:r>
    </w:p>
    <w:p>
      <w:pPr>
        <w:spacing w:before="0" w:after="0"/>
        <w:jc w:val="both"/>
      </w:pPr>
      <w:r>
        <w:rPr/>
      </w:r>
      <w:r>
        <w:rPr>
          <w:u w:val="none"/>
          <w:sz w:val="26"/>
          <w:rFonts w:ascii="Times New Roman" w:hAnsi="Times New Roman" w:cs="Times New Roman" w:eastAsia="Times New Roman"/>
        </w:rPr>
      </w:r>
      <w:r>
        <w:rPr>
          <w:sz w:val="26"/>
          <w:rFonts w:ascii="Times New Roman" w:hAnsi="Times New Roman" w:cs="Times New Roman" w:eastAsia="Times New Roman"/>
          <w:u w:val="none"/>
        </w:rPr>
        <w:t/>
      </w:r>
      <w:r>
        <w:rPr>
          <w:sz w:val="38"/>
          <w:rFonts w:ascii="Times New Roman" w:hAnsi="Times New Roman" w:cs="Times New Roman" w:eastAsia="Times New Roman"/>
          <w:u w:val="none"/>
        </w:rPr>
        <w:t>       </w:t>
      </w:r>
    </w:p>
    <w:p>
      <w:pPr>
        <w:spacing w:before="0" w:after="0"/>
      </w:pPr>
      <w:r>
        <w:rPr/>
      </w:r>
      <w:r>
        <w:rPr>
          <w:u w:val="none"/>
        </w:rPr>
      </w:r>
      <w:r>
        <w:rPr>
          <w:u w:val="none"/>
          <w:sz w:val="24"/>
        </w:rPr>
        <w:t/>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p>
    <w:tbl>
      <w:tblPr>
        <w:tblW w:w="10711" w:type="dxa"/>
        <w:tblBorders>
          <w:top w:val="none" w:sz="0"/>
          <w:left w:val="none" w:sz="0"/>
          <w:bottom w:val="none" w:sz="0"/>
          <w:right w:val="none" w:sz="0"/>
          <w:insideH w:val="single" w:sz="16"/>
          <w:insideV w:val="single" w:sz="16"/>
        </w:tblBorders>
        <w:tblLayout w:type="fixed"/>
      </w:tblPr>
      <w:tblGrid>
        <w:gridCol w:w="107"/>
        <w:gridCol w:w="6962"/>
        <w:gridCol w:w="3641"/>
      </w:tblGrid>
      <w:tr>
        <w:tc>
          <w:tcPr>
            <w:tcW w:type="dxa" w:w="107"/>
            <w:vMerge w:val="restart"/>
            <w:tcBorders>
              <w:right w:color="000000" w:sz="0" w:val="none"/>
            </w:tcBorders>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p>
        </w:tc>
        <w:tc>
          <w:tcPr>
            <w:tcW w:type="dxa" w:w="6962"/>
            <w:tcBorders>
              <w:left w:color="000000" w:sz="0" w:val="none"/>
              <w:right w:color="000000" w:sz="0" w:val="none"/>
            </w:tcBorders>
            <w:vAlign w:val="top"/>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ff"/>
                <w:i w:val="off"/>
                <w:strike w:val="off"/>
              </w:rPr>
            </w:r>
            <w:r>
              <w:rPr>
                <w:sz w:val="28"/>
                <w:rFonts w:ascii="Times New Roman" w:hAnsi="Times New Roman" w:cs="Times New Roman" w:eastAsia="Times New Roman"/>
                <w:u w:val="none"/>
              </w:rPr>
              <w:t>ПРЕДСЕДАТЕЛЬ КОМИТЕТА</w:t>
            </w:r>
          </w:p>
        </w:tc>
        <w:tc>
          <w:tcPr>
            <w:tcW w:type="dxa" w:w="3641"/>
            <w:vMerge w:val="restart"/>
            <w:tcBorders>
              <w:left w:color="000000" w:sz="0" w:val="none"/>
            </w:tcBorders>
            <w:vAlign w:val="top"/>
          </w:tcPr>
          <w:p>
            <w:pPr>
              <w:spacing w:before="0" w:after="0" w:lineRule="atLeast" w:line="20"/>
              <w:ind w:right="56" w:left="56" w:firstLine="0"/>
              <w:jc w:val="left"/>
            </w:pPr>
            <w:r>
              <w:rPr>
                <w:sz w:val="24"/>
              </w:rPr>
            </w:r>
            <w:r>
              <w:rPr>
                <w:u w:val="none"/>
                <w:sz w:val="28"/>
                <w:rFonts w:ascii="Times New Roman" w:hAnsi="Times New Roman" w:cs="Times New Roman" w:eastAsia="Times New Roman"/>
                <w:b w:val="off"/>
                <w:i w:val="off"/>
                <w:strike w:val="off"/>
              </w:rPr>
              <w:t/>
            </w:r>
            <w:r>
              <w:rPr>
                <w:sz w:val="24"/>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ff"/>
                <w:i w:val="off"/>
                <w:strike w:val="off"/>
              </w:rPr>
            </w:r>
            <w:r>
              <w:rPr>
                <w:sz w:val="28"/>
                <w:rFonts w:ascii="Times New Roman" w:hAnsi="Times New Roman" w:cs="Times New Roman" w:eastAsia="Times New Roman"/>
                <w:u w:val="single"/>
              </w:rPr>
              <w:t/>
              <w:t>А.В. Скрынников</w:t>
              <w:t/>
              <w:br w:type="textWrapping"/>
            </w:r>
            <w:r>
              <w:rPr>
                <w:sz w:val="28"/>
                <w:rFonts w:ascii="Times New Roman" w:hAnsi="Times New Roman" w:cs="Times New Roman" w:eastAsia="Times New Roman"/>
                <w:u w:val="none"/>
              </w:rPr>
            </w:r>
            <w:r>
              <w:rPr>
                <w:sz w:val="16"/>
                <w:rFonts w:ascii="Times New Roman" w:hAnsi="Times New Roman" w:cs="Times New Roman" w:eastAsia="Times New Roman"/>
                <w:u w:val="none"/>
                <w:b w:val="off"/>
                <w:i w:val="off"/>
                <w:strike w:val="off"/>
              </w:rPr>
              <w:t>     </w:t>
              <w:t>(расшифровка подписи)</w:t>
              <w:br w:type="textWrapping"/>
            </w:r>
          </w:p>
        </w:tc>
      </w:tr>
      <w:tr>
        <w:tc>
          <w:tcPr>
            <w:tcW w:type="dxa" w:w="107"/>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p>
        </w:tc>
        <w:tc>
          <w:tcPr>
            <w:tcW w:type="dxa" w:w="6962"/>
            <w:tcBorders>
              <w:bottom w:color="000000" w:sz="0" w:val="none"/>
            </w:tcBorders>
            <w:vAlign w:val="top"/>
          </w:tcPr>
          <w:p>
            <w:pPr>
              <w:spacing w:before="56" w:after="56" w:lineRule="auto" w:line="240"/>
              <w:ind w:right="56" w:left="56" w:firstLine="0"/>
              <w:jc w:val="center"/>
            </w:pPr>
            <w:r>
              <w:rPr/>
            </w:r>
            <w:r>
              <w:rPr>
                <w:u w:val="none"/>
                <w:sz w:val="20"/>
                <w:rFonts w:ascii="Times New Roman" w:hAnsi="Times New Roman" w:cs="Times New Roman" w:eastAsia="Times New Roman"/>
                <w:b w:val="on"/>
                <w:i w:val="off"/>
                <w:strike w:val="off"/>
              </w:rPr>
              <w:t/>
            </w:r>
            <w:r>
              <w:rPr/>
            </w:r>
            <w:r>
              <w:rPr>
                <w:u w:val="none"/>
                <w:sz w:val="20"/>
                <w:rFonts w:ascii="Times New Roman" w:hAnsi="Times New Roman" w:cs="Times New Roman" w:eastAsia="Times New Roman"/>
                <w:b w:val="on"/>
                <w:i w:val="off"/>
                <w:strike w:val="off"/>
              </w:rPr>
            </w:r>
            <w:r>
              <w:rPr>
                <w:sz w:val="20"/>
                <w:rFonts w:ascii="Times New Roman" w:hAnsi="Times New Roman" w:cs="Times New Roman" w:eastAsia="Times New Roman"/>
                <w:b w:val="on"/>
                <w:u w:val="none"/>
                <w:i w:val="off"/>
                <w:strike w:val="off"/>
              </w:rPr>
            </w:r>
            <w:r>
              <w:rPr>
                <w:sz w:val="20"/>
                <w:rFonts w:ascii="Times New Roman" w:hAnsi="Times New Roman" w:cs="Times New Roman" w:eastAsia="Times New Roman"/>
                <w:b w:val="on"/>
                <w:u w:val="none"/>
              </w:rPr>
              <w:t>ДОКУМЕНТ ПОДПИСАН ЭЛЕКТРОННОЙ ПОДПИСЬЮ</w:t>
            </w:r>
          </w:p>
        </w:tc>
        <w:tc>
          <w:tcPr>
            <w:tcW w:type="dxa" w:w="3641"/>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p>
        </w:tc>
      </w:tr>
      <w:tr>
        <w:tc>
          <w:tcPr>
            <w:tcW w:type="dxa" w:w="107"/>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p>
        </w:tc>
        <w:tc>
          <w:tcPr>
            <w:tcW w:type="dxa" w:w="6962"/>
            <w:tcBorders>
              <w:top w:color="000000" w:sz="0" w:val="none"/>
            </w:tcBorders>
          </w:tcPr>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0"/>
                <w:rFonts w:ascii="Times New Roman" w:hAnsi="Times New Roman" w:cs="Times New Roman" w:eastAsia="Times New Roman"/>
                <w:u w:val="none"/>
              </w:rPr>
            </w:r>
            <w:r>
              <w:rPr>
                <w:sz w:val="20"/>
                <w:rFonts w:ascii="Times New Roman" w:hAnsi="Times New Roman" w:cs="Times New Roman" w:eastAsia="Times New Roman"/>
                <w:u w:val="none"/>
              </w:rPr>
              <w:t/>
            </w:r>
            <w:r>
              <w:rPr>
                <w:sz w:val="20"/>
                <w:rFonts w:ascii="Times New Roman" w:hAnsi="Times New Roman" w:cs="Times New Roman" w:eastAsia="Times New Roman"/>
                <w:u w:val="none"/>
              </w:rPr>
              <w:t>Сертификат: 0083ED44CAFF6F0AD8A1F18A84693C0FDE</w:t>
            </w:r>
            <w:r>
              <w:rPr>
                <w:sz w:val="20"/>
                <w:rFonts w:ascii="Times New Roman" w:hAnsi="Times New Roman" w:cs="Times New Roman" w:eastAsia="Times New Roman"/>
                <w:u w:val="none"/>
              </w:rPr>
              <w:t/>
            </w:r>
          </w:p>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r>
            <w:r>
              <w:rPr>
                <w:sz w:val="20"/>
                <w:rFonts w:ascii="Times New Roman" w:hAnsi="Times New Roman" w:cs="Times New Roman" w:eastAsia="Times New Roman"/>
                <w:u w:val="none"/>
              </w:rPr>
            </w:r>
            <w:r>
              <w:rPr>
                <w:sz w:val="20"/>
                <w:rFonts w:ascii="Times New Roman" w:hAnsi="Times New Roman" w:cs="Times New Roman" w:eastAsia="Times New Roman"/>
                <w:u w:val="none"/>
              </w:rPr>
              <w:t/>
            </w:r>
            <w:r>
              <w:rPr>
                <w:sz w:val="20"/>
                <w:rFonts w:ascii="Times New Roman" w:hAnsi="Times New Roman" w:cs="Times New Roman" w:eastAsia="Times New Roman"/>
                <w:u w:val="none"/>
              </w:rPr>
              <w:t>Владелец: Скрынников Андрей Владимирович</w:t>
            </w:r>
            <w:r>
              <w:rPr>
                <w:sz w:val="20"/>
                <w:rFonts w:ascii="Times New Roman" w:hAnsi="Times New Roman" w:cs="Times New Roman" w:eastAsia="Times New Roman"/>
                <w:u w:val="none"/>
              </w:rPr>
              <w:t/>
            </w:r>
          </w:p>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r>
            <w:r>
              <w:rPr>
                <w:sz w:val="20"/>
                <w:rFonts w:ascii="Times New Roman" w:hAnsi="Times New Roman" w:cs="Times New Roman" w:eastAsia="Times New Roman"/>
                <w:u w:val="none"/>
              </w:rPr>
            </w:r>
            <w:r>
              <w:rPr>
                <w:sz w:val="20"/>
                <w:rFonts w:ascii="Times New Roman" w:hAnsi="Times New Roman" w:cs="Times New Roman" w:eastAsia="Times New Roman"/>
                <w:u w:val="none"/>
              </w:rPr>
              <w:t/>
            </w:r>
            <w:r>
              <w:rPr>
                <w:sz w:val="20"/>
                <w:rFonts w:ascii="Times New Roman" w:hAnsi="Times New Roman" w:cs="Times New Roman" w:eastAsia="Times New Roman"/>
                <w:u w:val="none"/>
              </w:rPr>
              <w:t>Действителен с 18.06.2025 по 11.09.2026</w:t>
            </w:r>
          </w:p>
        </w:tc>
        <w:tc>
          <w:tcPr>
            <w:tcW w:type="dxa" w:w="3641"/>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p>
        </w:tc>
      </w:tr>
      <w:tr>
        <w:tc>
          <w:tcPr>
            <w:tcW w:type="dxa" w:w="107"/>
            <w:vMerge/>
            <w:tcBorders>
              <w:right w:color="000000" w:sz="0" w:val="none"/>
            </w:tcBorders>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p>
        </w:tc>
        <w:tc>
          <w:tcPr>
            <w:tcW w:type="dxa" w:w="6962"/>
            <w:tcBorders>
              <w:left w:color="000000" w:sz="0" w:val="none"/>
              <w:right w:color="000000" w:sz="0" w:val="none"/>
            </w:tcBorders>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p>
        </w:tc>
        <w:tc>
          <w:tcPr>
            <w:tcW w:type="dxa" w:w="3641"/>
            <w:vMerge/>
            <w:tcBorders>
              <w:left w:color="000000" w:sz="0" w:val="none"/>
            </w:tcBorders>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p>
        </w:tc>
      </w:tr>
    </w:tbl>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p>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p>
    <w:tbl>
      <w:tblPr>
        <w:tblW w:w="10711" w:type="dxa"/>
        <w:tblBorders>
          <w:top w:val="none" w:sz="0"/>
          <w:left w:val="none" w:sz="0"/>
          <w:bottom w:val="none" w:sz="0"/>
          <w:right w:val="none" w:sz="0"/>
          <w:insideH w:val="single" w:sz="16"/>
          <w:insideV w:val="single" w:sz="16"/>
        </w:tblBorders>
        <w:tblLayout w:type="fixed"/>
      </w:tblPr>
      <w:tblGrid>
        <w:gridCol w:w="107"/>
        <w:gridCol w:w="6962"/>
        <w:gridCol w:w="3641"/>
      </w:tblGrid>
      <w:tr>
        <w:tc>
          <w:tcPr>
            <w:tcW w:type="dxa" w:w="107"/>
            <w:vMerge w:val="restart"/>
            <w:tcBorders>
              <w:right w:color="000000" w:sz="0" w:val="none"/>
            </w:tcBorders>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p>
        </w:tc>
        <w:tc>
          <w:tcPr>
            <w:tcW w:type="dxa" w:w="6962"/>
            <w:tcBorders>
              <w:left w:color="000000" w:sz="0" w:val="none"/>
              <w:right w:color="000000" w:sz="0" w:val="none"/>
            </w:tcBorders>
            <w:vAlign w:val="top"/>
          </w:tcPr>
          <w:p>
            <w:pPr>
              <w:spacing w:before="0" w:after="0" w:lineRule="auto" w:line="240"/>
              <w:ind w:right="0" w:left="0" w:firstLine="0"/>
              <w:jc w:val="lef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ff"/>
                <w:i w:val="off"/>
                <w:strike w:val="off"/>
              </w:rPr>
            </w:r>
            <w:r>
              <w:rPr>
                <w:sz w:val="28"/>
                <w:rFonts w:ascii="Times New Roman" w:hAnsi="Times New Roman" w:cs="Times New Roman" w:eastAsia="Times New Roman"/>
                <w:u w:val="none"/>
              </w:rPr>
              <w:t>Директор МКУ "ЦМР"</w:t>
            </w:r>
          </w:p>
        </w:tc>
        <w:tc>
          <w:tcPr>
            <w:tcW w:type="dxa" w:w="3641"/>
            <w:vMerge w:val="restart"/>
            <w:tcBorders>
              <w:left w:color="000000" w:sz="0" w:val="none"/>
            </w:tcBorders>
            <w:vAlign w:val="top"/>
          </w:tcPr>
          <w:p>
            <w:pPr>
              <w:spacing w:before="0" w:after="0" w:lineRule="auto" w:line="240"/>
              <w:ind w:right="0" w:left="0" w:firstLine="0"/>
              <w:jc w:val="both"/>
            </w:pPr>
            <w:r>
              <w:rPr>
                <w:sz w:val="24"/>
              </w:rPr>
            </w:r>
            <w:r>
              <w:rPr>
                <w:u w:val="none"/>
                <w:sz w:val="28"/>
                <w:rFonts w:ascii="Times New Roman" w:hAnsi="Times New Roman" w:cs="Times New Roman" w:eastAsia="Times New Roman"/>
                <w:b w:val="off"/>
                <w:i w:val="off"/>
                <w:strike w:val="off"/>
              </w:rPr>
              <w:t/>
            </w:r>
            <w:r>
              <w:rPr>
                <w:sz w:val="24"/>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single"/>
              </w:rPr>
              <w:t> </w:t>
              <w:t>Н.В. Махаева</w:t>
              <w:t> </w:t>
            </w:r>
          </w:p>
          <w:p>
            <w:pPr>
              <w:spacing w:after="0" w:before="0"/>
              <w:ind w:right="0" w:left="0" w:firstLine="0"/>
              <w:jc w:val="left"/>
            </w:pPr>
            <w:r>
              <w:rPr>
                <w:sz w:val="28"/>
                <w:rFonts w:ascii="Times New Roman" w:hAnsi="Times New Roman" w:cs="Times New Roman" w:eastAsia="Times New Roman"/>
                <w:u w:val="none"/>
              </w:rPr>
            </w:r>
            <w:r>
              <w:rPr>
                <w:sz w:val="16"/>
                <w:rFonts w:ascii="Times New Roman" w:hAnsi="Times New Roman" w:cs="Times New Roman" w:eastAsia="Times New Roman"/>
                <w:u w:val="none"/>
                <w:b w:val="off"/>
                <w:i w:val="off"/>
                <w:strike w:val="off"/>
              </w:rPr>
              <w:t> </w:t>
              <w:t>(расшифровка подписи)</w:t>
            </w:r>
          </w:p>
        </w:tc>
      </w:tr>
      <w:tr>
        <w:tc>
          <w:tcPr>
            <w:tcW w:type="dxa" w:w="107"/>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p>
        </w:tc>
        <w:tc>
          <w:tcPr>
            <w:tcW w:type="dxa" w:w="6962"/>
            <w:tcBorders>
              <w:bottom w:color="000000" w:sz="0" w:val="none"/>
            </w:tcBorders>
            <w:vAlign w:val="top"/>
          </w:tcPr>
          <w:p>
            <w:pPr>
              <w:spacing w:before="56" w:after="56" w:lineRule="auto" w:line="240"/>
              <w:ind w:right="56" w:left="56" w:firstLine="0"/>
              <w:jc w:val="center"/>
            </w:pPr>
            <w:r>
              <w:rPr/>
            </w:r>
            <w:r>
              <w:rPr>
                <w:u w:val="none"/>
                <w:sz w:val="20"/>
                <w:rFonts w:ascii="Times New Roman" w:hAnsi="Times New Roman" w:cs="Times New Roman" w:eastAsia="Times New Roman"/>
                <w:b w:val="on"/>
                <w:i w:val="off"/>
                <w:strike w:val="off"/>
              </w:rPr>
              <w:t/>
            </w:r>
            <w:r>
              <w:rPr/>
            </w:r>
            <w:r>
              <w:rPr>
                <w:u w:val="none"/>
                <w:sz w:val="20"/>
                <w:rFonts w:ascii="Times New Roman" w:hAnsi="Times New Roman" w:cs="Times New Roman" w:eastAsia="Times New Roman"/>
                <w:b w:val="on"/>
                <w:i w:val="off"/>
                <w:strike w:val="off"/>
              </w:rPr>
            </w:r>
            <w:r>
              <w:rPr>
                <w:sz w:val="20"/>
                <w:rFonts w:ascii="Times New Roman" w:hAnsi="Times New Roman" w:cs="Times New Roman" w:eastAsia="Times New Roman"/>
                <w:b w:val="on"/>
                <w:u w:val="none"/>
                <w:i w:val="off"/>
                <w:strike w:val="off"/>
              </w:rPr>
            </w:r>
            <w:r>
              <w:rPr>
                <w:sz w:val="20"/>
                <w:rFonts w:ascii="Times New Roman" w:hAnsi="Times New Roman" w:cs="Times New Roman" w:eastAsia="Times New Roman"/>
                <w:b w:val="on"/>
                <w:u w:val="none"/>
              </w:rPr>
              <w:t>ДОКУМЕНТ ПОДПИСАН ЭЛЕКТРОННОЙ ПОДПИСЬЮ</w:t>
            </w:r>
          </w:p>
        </w:tc>
        <w:tc>
          <w:tcPr>
            <w:tcW w:type="dxa" w:w="3641"/>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p>
        </w:tc>
      </w:tr>
      <w:tr>
        <w:tc>
          <w:tcPr>
            <w:tcW w:type="dxa" w:w="107"/>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p>
        </w:tc>
        <w:tc>
          <w:tcPr>
            <w:tcW w:type="dxa" w:w="6962"/>
            <w:tcBorders>
              <w:top w:color="000000" w:sz="0" w:val="none"/>
            </w:tcBorders>
          </w:tcPr>
          <w:p>
            <w:pPr>
              <w:spacing w:before="0" w:after="0" w:lineRule="auto" w:line="240"/>
              <w:ind w:right="0" w:left="0" w:firstLine="0"/>
              <w:jc w:val="lef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0"/>
                <w:rFonts w:ascii="Times New Roman" w:hAnsi="Times New Roman" w:cs="Times New Roman" w:eastAsia="Times New Roman"/>
                <w:u w:val="none"/>
              </w:rPr>
            </w:r>
            <w:r>
              <w:rPr>
                <w:sz w:val="20"/>
                <w:rFonts w:ascii="Times New Roman" w:hAnsi="Times New Roman" w:cs="Times New Roman" w:eastAsia="Times New Roman"/>
                <w:u w:val="none"/>
              </w:rPr>
              <w:t/>
            </w:r>
            <w:r>
              <w:rPr>
                <w:sz w:val="20"/>
                <w:rFonts w:ascii="Times New Roman" w:hAnsi="Times New Roman" w:cs="Times New Roman" w:eastAsia="Times New Roman"/>
                <w:u w:val="none"/>
              </w:rPr>
              <w:t>Сертификат: 4EEBEF76187BAC5EE8BF74B60ED7B923</w:t>
            </w:r>
            <w:r>
              <w:rPr>
                <w:sz w:val="20"/>
                <w:rFonts w:ascii="Times New Roman" w:hAnsi="Times New Roman" w:cs="Times New Roman" w:eastAsia="Times New Roman"/>
                <w:u w:val="none"/>
              </w:rPr>
              <w:t/>
            </w:r>
          </w:p>
          <w:p>
            <w:pPr>
              <w:spacing w:before="0" w:after="0" w:lineRule="auto" w:line="240"/>
              <w:ind w:right="0" w:left="0" w:firstLine="0"/>
              <w:jc w:val="left"/>
            </w:pPr>
            <w:r>
              <w:rPr/>
            </w:r>
            <w:r>
              <w:rPr>
                <w:u w:val="none"/>
                <w:sz w:val="28"/>
                <w:rFonts w:ascii="Times New Roman" w:hAnsi="Times New Roman" w:cs="Times New Roman" w:eastAsia="Times New Roman"/>
                <w:b w:val="off"/>
                <w:i w:val="off"/>
                <w:strike w:val="off"/>
              </w:rPr>
            </w:r>
            <w:r>
              <w:rPr>
                <w:sz w:val="20"/>
                <w:rFonts w:ascii="Times New Roman" w:hAnsi="Times New Roman" w:cs="Times New Roman" w:eastAsia="Times New Roman"/>
                <w:u w:val="none"/>
              </w:rPr>
            </w:r>
            <w:r>
              <w:rPr>
                <w:sz w:val="20"/>
                <w:rFonts w:ascii="Times New Roman" w:hAnsi="Times New Roman" w:cs="Times New Roman" w:eastAsia="Times New Roman"/>
                <w:u w:val="none"/>
              </w:rPr>
              <w:t/>
            </w:r>
            <w:r>
              <w:rPr>
                <w:sz w:val="20"/>
                <w:rFonts w:ascii="Times New Roman" w:hAnsi="Times New Roman" w:cs="Times New Roman" w:eastAsia="Times New Roman"/>
                <w:u w:val="none"/>
              </w:rPr>
              <w:t>Владелец: Махаева Наталья Владимировна</w:t>
            </w:r>
            <w:r>
              <w:rPr>
                <w:sz w:val="20"/>
                <w:rFonts w:ascii="Times New Roman" w:hAnsi="Times New Roman" w:cs="Times New Roman" w:eastAsia="Times New Roman"/>
                <w:u w:val="none"/>
              </w:rPr>
              <w:t/>
            </w:r>
          </w:p>
          <w:p>
            <w:pPr>
              <w:spacing w:before="0" w:after="0" w:lineRule="auto" w:line="240"/>
              <w:ind w:right="0" w:left="0" w:firstLine="0"/>
              <w:jc w:val="left"/>
            </w:pPr>
            <w:r>
              <w:rPr/>
            </w:r>
            <w:r>
              <w:rPr>
                <w:u w:val="none"/>
                <w:sz w:val="28"/>
                <w:rFonts w:ascii="Times New Roman" w:hAnsi="Times New Roman" w:cs="Times New Roman" w:eastAsia="Times New Roman"/>
                <w:b w:val="off"/>
                <w:i w:val="off"/>
                <w:strike w:val="off"/>
              </w:rPr>
            </w:r>
            <w:r>
              <w:rPr>
                <w:sz w:val="20"/>
                <w:rFonts w:ascii="Times New Roman" w:hAnsi="Times New Roman" w:cs="Times New Roman" w:eastAsia="Times New Roman"/>
                <w:u w:val="none"/>
              </w:rPr>
            </w:r>
            <w:r>
              <w:rPr>
                <w:sz w:val="20"/>
                <w:rFonts w:ascii="Times New Roman" w:hAnsi="Times New Roman" w:cs="Times New Roman" w:eastAsia="Times New Roman"/>
                <w:u w:val="none"/>
              </w:rPr>
              <w:t/>
            </w:r>
            <w:r>
              <w:rPr>
                <w:sz w:val="20"/>
                <w:rFonts w:ascii="Times New Roman" w:hAnsi="Times New Roman" w:cs="Times New Roman" w:eastAsia="Times New Roman"/>
                <w:u w:val="none"/>
              </w:rPr>
              <w:t>Действителен с 05.06.2025 по 29.08.2026</w:t>
            </w:r>
          </w:p>
        </w:tc>
        <w:tc>
          <w:tcPr>
            <w:tcW w:type="dxa" w:w="3641"/>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p>
        </w:tc>
      </w:tr>
      <w:tr>
        <w:tc>
          <w:tcPr>
            <w:tcW w:type="dxa" w:w="107"/>
            <w:vMerge/>
            <w:tcBorders>
              <w:right w:color="000000" w:sz="0" w:val="none"/>
            </w:tcBorders>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p>
        </w:tc>
        <w:tc>
          <w:tcPr>
            <w:tcW w:type="dxa" w:w="6962"/>
            <w:tcBorders>
              <w:left w:color="000000" w:sz="0" w:val="none"/>
              <w:right w:color="000000" w:sz="0" w:val="none"/>
            </w:tcBorders>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p>
        </w:tc>
        <w:tc>
          <w:tcPr>
            <w:tcW w:type="dxa" w:w="3641"/>
            <w:vMerge/>
            <w:tcBorders>
              <w:left w:color="000000" w:sz="0" w:val="none"/>
            </w:tcBorders>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p>
        </w:tc>
      </w:tr>
    </w:tbl>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p>
    <w:tbl>
      <w:tblPr>
        <w:tblW w:w="10711" w:type="dxa"/>
        <w:tblBorders>
          <w:top w:val="none" w:sz="0"/>
          <w:left w:val="none" w:sz="0"/>
          <w:bottom w:val="none" w:sz="0"/>
          <w:right w:val="none" w:sz="0"/>
          <w:insideH w:val="single" w:sz="16"/>
          <w:insideV w:val="single" w:sz="16"/>
        </w:tblBorders>
        <w:tblLayout w:type="fixed"/>
      </w:tblPr>
      <w:tblGrid>
        <w:gridCol w:w="107"/>
        <w:gridCol w:w="6962"/>
        <w:gridCol w:w="3641"/>
      </w:tblGrid>
      <w:tr>
        <w:tc>
          <w:tcPr>
            <w:tcW w:type="dxa" w:w="107"/>
            <w:vMerge w:val="restart"/>
            <w:tcBorders>
              <w:right w:color="000000" w:sz="0" w:val="none"/>
            </w:tcBorders>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p>
        </w:tc>
        <w:tc>
          <w:tcPr>
            <w:tcW w:type="dxa" w:w="6962"/>
            <w:tcBorders>
              <w:left w:color="000000" w:sz="0" w:val="none"/>
              <w:right w:color="000000" w:sz="0" w:val="none"/>
            </w:tcBorders>
            <w:vAlign w:val="top"/>
          </w:tcPr>
          <w:p>
            <w:pPr>
              <w:spacing w:before="0" w:after="0" w:lineRule="auto" w:line="240"/>
              <w:ind w:right="0" w:left="0" w:firstLine="0"/>
              <w:jc w:val="lef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ff"/>
                <w:i w:val="off"/>
                <w:strike w:val="off"/>
              </w:rPr>
            </w:r>
            <w:r>
              <w:rPr>
                <w:sz w:val="28"/>
                <w:rFonts w:ascii="Times New Roman" w:hAnsi="Times New Roman" w:cs="Times New Roman" w:eastAsia="Times New Roman"/>
                <w:u w:val="none"/>
              </w:rPr>
              <w:t>ДИРЕКТОР</w:t>
            </w:r>
          </w:p>
        </w:tc>
        <w:tc>
          <w:tcPr>
            <w:tcW w:type="dxa" w:w="3641"/>
            <w:vMerge w:val="restart"/>
            <w:tcBorders>
              <w:left w:color="000000" w:sz="0" w:val="none"/>
            </w:tcBorders>
            <w:vAlign w:val="top"/>
          </w:tcPr>
          <w:p>
            <w:pPr>
              <w:spacing w:before="0" w:after="0" w:lineRule="auto" w:line="240"/>
              <w:ind w:right="0" w:left="0" w:firstLine="0"/>
              <w:jc w:val="both"/>
            </w:pPr>
            <w:r>
              <w:rPr>
                <w:sz w:val="24"/>
              </w:rPr>
            </w:r>
            <w:r>
              <w:rPr>
                <w:u w:val="none"/>
                <w:sz w:val="28"/>
                <w:rFonts w:ascii="Times New Roman" w:hAnsi="Times New Roman" w:cs="Times New Roman" w:eastAsia="Times New Roman"/>
                <w:b w:val="off"/>
                <w:i w:val="off"/>
                <w:strike w:val="off"/>
              </w:rPr>
              <w:t/>
            </w:r>
            <w:r>
              <w:rPr>
                <w:sz w:val="24"/>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single"/>
              </w:rPr>
              <w:t> </w:t>
              <w:t>Н.В. Махаева</w:t>
              <w:t> </w:t>
            </w:r>
          </w:p>
          <w:p>
            <w:pPr>
              <w:spacing w:after="0" w:before="0"/>
              <w:ind w:right="0" w:left="0" w:firstLine="0"/>
              <w:jc w:val="left"/>
            </w:pPr>
            <w:r>
              <w:rPr>
                <w:sz w:val="28"/>
                <w:rFonts w:ascii="Times New Roman" w:hAnsi="Times New Roman" w:cs="Times New Roman" w:eastAsia="Times New Roman"/>
                <w:u w:val="none"/>
              </w:rPr>
            </w:r>
            <w:r>
              <w:rPr>
                <w:sz w:val="16"/>
                <w:rFonts w:ascii="Times New Roman" w:hAnsi="Times New Roman" w:cs="Times New Roman" w:eastAsia="Times New Roman"/>
                <w:u w:val="none"/>
                <w:b w:val="off"/>
                <w:i w:val="off"/>
                <w:strike w:val="off"/>
              </w:rPr>
              <w:t> </w:t>
              <w:t>(расшифровка подписи)</w:t>
            </w:r>
          </w:p>
        </w:tc>
      </w:tr>
      <w:tr>
        <w:tc>
          <w:tcPr>
            <w:tcW w:type="dxa" w:w="107"/>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p>
        </w:tc>
        <w:tc>
          <w:tcPr>
            <w:tcW w:type="dxa" w:w="6962"/>
            <w:tcBorders>
              <w:bottom w:color="000000" w:sz="0" w:val="none"/>
            </w:tcBorders>
            <w:vAlign w:val="top"/>
          </w:tcPr>
          <w:p>
            <w:pPr>
              <w:spacing w:before="56" w:after="56" w:lineRule="auto" w:line="240"/>
              <w:ind w:right="56" w:left="56" w:firstLine="0"/>
              <w:jc w:val="center"/>
            </w:pPr>
            <w:r>
              <w:rPr/>
            </w:r>
            <w:r>
              <w:rPr>
                <w:u w:val="none"/>
                <w:sz w:val="20"/>
                <w:rFonts w:ascii="Times New Roman" w:hAnsi="Times New Roman" w:cs="Times New Roman" w:eastAsia="Times New Roman"/>
                <w:b w:val="on"/>
                <w:i w:val="off"/>
                <w:strike w:val="off"/>
              </w:rPr>
              <w:t/>
            </w:r>
            <w:r>
              <w:rPr/>
            </w:r>
            <w:r>
              <w:rPr>
                <w:u w:val="none"/>
                <w:sz w:val="20"/>
                <w:rFonts w:ascii="Times New Roman" w:hAnsi="Times New Roman" w:cs="Times New Roman" w:eastAsia="Times New Roman"/>
                <w:b w:val="on"/>
                <w:i w:val="off"/>
                <w:strike w:val="off"/>
              </w:rPr>
            </w:r>
            <w:r>
              <w:rPr>
                <w:sz w:val="20"/>
                <w:rFonts w:ascii="Times New Roman" w:hAnsi="Times New Roman" w:cs="Times New Roman" w:eastAsia="Times New Roman"/>
                <w:b w:val="on"/>
                <w:u w:val="none"/>
                <w:i w:val="off"/>
                <w:strike w:val="off"/>
              </w:rPr>
            </w:r>
            <w:r>
              <w:rPr>
                <w:sz w:val="20"/>
                <w:rFonts w:ascii="Times New Roman" w:hAnsi="Times New Roman" w:cs="Times New Roman" w:eastAsia="Times New Roman"/>
                <w:b w:val="on"/>
                <w:u w:val="none"/>
              </w:rPr>
              <w:t>ДОКУМЕНТ ПОДПИСАН ЭЛЕКТРОННОЙ ПОДПИСЬЮ</w:t>
            </w:r>
          </w:p>
        </w:tc>
        <w:tc>
          <w:tcPr>
            <w:tcW w:type="dxa" w:w="3641"/>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p>
        </w:tc>
      </w:tr>
      <w:tr>
        <w:tc>
          <w:tcPr>
            <w:tcW w:type="dxa" w:w="107"/>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p>
        </w:tc>
        <w:tc>
          <w:tcPr>
            <w:tcW w:type="dxa" w:w="6962"/>
            <w:tcBorders>
              <w:top w:color="000000" w:sz="0" w:val="none"/>
            </w:tcBorders>
          </w:tcPr>
          <w:p>
            <w:pPr>
              <w:spacing w:before="0" w:after="0" w:lineRule="auto" w:line="240"/>
              <w:ind w:right="0" w:left="0" w:firstLine="0"/>
              <w:jc w:val="lef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0"/>
                <w:rFonts w:ascii="Times New Roman" w:hAnsi="Times New Roman" w:cs="Times New Roman" w:eastAsia="Times New Roman"/>
                <w:u w:val="none"/>
              </w:rPr>
            </w:r>
            <w:r>
              <w:rPr>
                <w:sz w:val="20"/>
                <w:rFonts w:ascii="Times New Roman" w:hAnsi="Times New Roman" w:cs="Times New Roman" w:eastAsia="Times New Roman"/>
                <w:u w:val="none"/>
              </w:rPr>
              <w:t/>
            </w:r>
            <w:r>
              <w:rPr>
                <w:sz w:val="20"/>
                <w:rFonts w:ascii="Times New Roman" w:hAnsi="Times New Roman" w:cs="Times New Roman" w:eastAsia="Times New Roman"/>
                <w:u w:val="none"/>
              </w:rPr>
              <w:t>Сертификат: 4EEBEF76187BAC5EE8BF74B60ED7B923</w:t>
            </w:r>
            <w:r>
              <w:rPr>
                <w:sz w:val="20"/>
                <w:rFonts w:ascii="Times New Roman" w:hAnsi="Times New Roman" w:cs="Times New Roman" w:eastAsia="Times New Roman"/>
                <w:u w:val="none"/>
              </w:rPr>
              <w:t/>
            </w:r>
          </w:p>
          <w:p>
            <w:pPr>
              <w:spacing w:before="0" w:after="0" w:lineRule="auto" w:line="240"/>
              <w:ind w:right="0" w:left="0" w:firstLine="0"/>
              <w:jc w:val="left"/>
            </w:pPr>
            <w:r>
              <w:rPr/>
            </w:r>
            <w:r>
              <w:rPr>
                <w:u w:val="none"/>
                <w:sz w:val="28"/>
                <w:rFonts w:ascii="Times New Roman" w:hAnsi="Times New Roman" w:cs="Times New Roman" w:eastAsia="Times New Roman"/>
                <w:b w:val="off"/>
                <w:i w:val="off"/>
                <w:strike w:val="off"/>
              </w:rPr>
            </w:r>
            <w:r>
              <w:rPr>
                <w:sz w:val="20"/>
                <w:rFonts w:ascii="Times New Roman" w:hAnsi="Times New Roman" w:cs="Times New Roman" w:eastAsia="Times New Roman"/>
                <w:u w:val="none"/>
              </w:rPr>
            </w:r>
            <w:r>
              <w:rPr>
                <w:sz w:val="20"/>
                <w:rFonts w:ascii="Times New Roman" w:hAnsi="Times New Roman" w:cs="Times New Roman" w:eastAsia="Times New Roman"/>
                <w:u w:val="none"/>
              </w:rPr>
              <w:t/>
            </w:r>
            <w:r>
              <w:rPr>
                <w:sz w:val="20"/>
                <w:rFonts w:ascii="Times New Roman" w:hAnsi="Times New Roman" w:cs="Times New Roman" w:eastAsia="Times New Roman"/>
                <w:u w:val="none"/>
              </w:rPr>
              <w:t>Владелец: Махаева Наталья Владимировна</w:t>
            </w:r>
            <w:r>
              <w:rPr>
                <w:sz w:val="20"/>
                <w:rFonts w:ascii="Times New Roman" w:hAnsi="Times New Roman" w:cs="Times New Roman" w:eastAsia="Times New Roman"/>
                <w:u w:val="none"/>
              </w:rPr>
              <w:t/>
            </w:r>
          </w:p>
          <w:p>
            <w:pPr>
              <w:spacing w:before="0" w:after="0" w:lineRule="auto" w:line="240"/>
              <w:ind w:right="0" w:left="0" w:firstLine="0"/>
              <w:jc w:val="left"/>
            </w:pPr>
            <w:r>
              <w:rPr/>
            </w:r>
            <w:r>
              <w:rPr>
                <w:u w:val="none"/>
                <w:sz w:val="28"/>
                <w:rFonts w:ascii="Times New Roman" w:hAnsi="Times New Roman" w:cs="Times New Roman" w:eastAsia="Times New Roman"/>
                <w:b w:val="off"/>
                <w:i w:val="off"/>
                <w:strike w:val="off"/>
              </w:rPr>
            </w:r>
            <w:r>
              <w:rPr>
                <w:sz w:val="20"/>
                <w:rFonts w:ascii="Times New Roman" w:hAnsi="Times New Roman" w:cs="Times New Roman" w:eastAsia="Times New Roman"/>
                <w:u w:val="none"/>
              </w:rPr>
            </w:r>
            <w:r>
              <w:rPr>
                <w:sz w:val="20"/>
                <w:rFonts w:ascii="Times New Roman" w:hAnsi="Times New Roman" w:cs="Times New Roman" w:eastAsia="Times New Roman"/>
                <w:u w:val="none"/>
              </w:rPr>
              <w:t/>
            </w:r>
            <w:r>
              <w:rPr>
                <w:sz w:val="20"/>
                <w:rFonts w:ascii="Times New Roman" w:hAnsi="Times New Roman" w:cs="Times New Roman" w:eastAsia="Times New Roman"/>
                <w:u w:val="none"/>
              </w:rPr>
              <w:t>Действителен с 05.06.2025 по 29.08.2026</w:t>
            </w:r>
          </w:p>
        </w:tc>
        <w:tc>
          <w:tcPr>
            <w:tcW w:type="dxa" w:w="3641"/>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p>
        </w:tc>
      </w:tr>
      <w:tr>
        <w:tc>
          <w:tcPr>
            <w:tcW w:type="dxa" w:w="107"/>
            <w:vMerge/>
            <w:tcBorders>
              <w:right w:color="000000" w:sz="0" w:val="none"/>
            </w:tcBorders>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p>
        </w:tc>
        <w:tc>
          <w:tcPr>
            <w:tcW w:type="dxa" w:w="6962"/>
            <w:tcBorders>
              <w:left w:color="000000" w:sz="0" w:val="none"/>
              <w:right w:color="000000" w:sz="0" w:val="none"/>
            </w:tcBorders>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p>
        </w:tc>
        <w:tc>
          <w:tcPr>
            <w:tcW w:type="dxa" w:w="3641"/>
            <w:vMerge/>
            <w:tcBorders>
              <w:left w:color="000000" w:sz="0" w:val="none"/>
            </w:tcBorders>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p>
        </w:tc>
      </w:tr>
    </w:tbl>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r>
    </w:p>
    <w:tbl>
      <w:tblPr>
        <w:tblW w:w="10711" w:type="dxa"/>
        <w:tblBorders>
          <w:top w:val="none" w:sz="0"/>
          <w:left w:val="none" w:sz="0"/>
          <w:bottom w:val="none" w:sz="0"/>
          <w:right w:val="none" w:sz="0"/>
          <w:insideH w:val="single" w:sz="16"/>
          <w:insideV w:val="single" w:sz="16"/>
        </w:tblBorders>
        <w:tblLayout w:type="fixed"/>
      </w:tblPr>
      <w:tblGrid>
        <w:gridCol w:w="107"/>
        <w:gridCol w:w="6962"/>
        <w:gridCol w:w="3641"/>
      </w:tblGrid>
      <w:tr>
        <w:tc>
          <w:tcPr>
            <w:tcW w:type="dxa" w:w="107"/>
            <w:vMerge w:val="restart"/>
            <w:tcBorders>
              <w:right w:color="000000" w:sz="0" w:val="none"/>
            </w:tcBorders>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p>
        </w:tc>
        <w:tc>
          <w:tcPr>
            <w:tcW w:type="dxa" w:w="6962"/>
            <w:tcBorders>
              <w:left w:color="000000" w:sz="0" w:val="none"/>
              <w:right w:color="000000" w:sz="0" w:val="none"/>
            </w:tcBorders>
            <w:vAlign w:val="top"/>
          </w:tcPr>
          <w:p>
            <w:pPr>
              <w:spacing w:before="0" w:after="0" w:lineRule="auto" w:line="240"/>
              <w:ind w:right="0" w:left="0" w:firstLine="0"/>
              <w:jc w:val="lef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b w:val="off"/>
                <w:i w:val="off"/>
                <w:strike w:val="off"/>
              </w:rPr>
            </w:r>
            <w:r>
              <w:rPr>
                <w:sz w:val="28"/>
                <w:rFonts w:ascii="Times New Roman" w:hAnsi="Times New Roman" w:cs="Times New Roman" w:eastAsia="Times New Roman"/>
                <w:u w:val="none"/>
              </w:rPr>
              <w:t>ДИРЕКТОР</w:t>
            </w:r>
          </w:p>
        </w:tc>
        <w:tc>
          <w:tcPr>
            <w:tcW w:type="dxa" w:w="3641"/>
            <w:vMerge w:val="restart"/>
            <w:tcBorders>
              <w:left w:color="000000" w:sz="0" w:val="none"/>
            </w:tcBorders>
            <w:vAlign w:val="top"/>
          </w:tcPr>
          <w:p>
            <w:pPr>
              <w:spacing w:before="0" w:after="0" w:lineRule="auto" w:line="240"/>
              <w:ind w:right="0" w:left="0" w:firstLine="0"/>
              <w:jc w:val="both"/>
            </w:pPr>
            <w:r>
              <w:rPr>
                <w:sz w:val="24"/>
              </w:rPr>
            </w:r>
            <w:r>
              <w:rPr>
                <w:u w:val="none"/>
                <w:sz w:val="28"/>
                <w:rFonts w:ascii="Times New Roman" w:hAnsi="Times New Roman" w:cs="Times New Roman" w:eastAsia="Times New Roman"/>
                <w:b w:val="off"/>
                <w:i w:val="off"/>
                <w:strike w:val="off"/>
              </w:rPr>
              <w:t/>
            </w:r>
            <w:r>
              <w:rPr>
                <w:sz w:val="24"/>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r>
            <w:r>
              <w:rPr>
                <w:sz w:val="28"/>
                <w:rFonts w:ascii="Times New Roman" w:hAnsi="Times New Roman" w:cs="Times New Roman" w:eastAsia="Times New Roman"/>
                <w:u w:val="single"/>
              </w:rPr>
              <w:t> </w:t>
              <w:t>Н.В. Махаева</w:t>
              <w:t> </w:t>
            </w:r>
          </w:p>
          <w:p>
            <w:pPr>
              <w:spacing w:after="0" w:before="0"/>
              <w:ind w:right="0" w:left="0" w:firstLine="0"/>
              <w:jc w:val="left"/>
            </w:pPr>
            <w:r>
              <w:rPr>
                <w:sz w:val="28"/>
                <w:rFonts w:ascii="Times New Roman" w:hAnsi="Times New Roman" w:cs="Times New Roman" w:eastAsia="Times New Roman"/>
                <w:u w:val="none"/>
              </w:rPr>
            </w:r>
            <w:r>
              <w:rPr>
                <w:sz w:val="16"/>
                <w:rFonts w:ascii="Times New Roman" w:hAnsi="Times New Roman" w:cs="Times New Roman" w:eastAsia="Times New Roman"/>
                <w:u w:val="none"/>
                <w:b w:val="off"/>
                <w:i w:val="off"/>
                <w:strike w:val="off"/>
              </w:rPr>
              <w:t> </w:t>
              <w:t>(расшифровка подписи)</w:t>
            </w:r>
          </w:p>
        </w:tc>
      </w:tr>
      <w:tr>
        <w:tc>
          <w:tcPr>
            <w:tcW w:type="dxa" w:w="107"/>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p>
        </w:tc>
        <w:tc>
          <w:tcPr>
            <w:tcW w:type="dxa" w:w="6962"/>
            <w:tcBorders>
              <w:bottom w:color="000000" w:sz="0" w:val="none"/>
            </w:tcBorders>
            <w:vAlign w:val="top"/>
          </w:tcPr>
          <w:p>
            <w:pPr>
              <w:spacing w:before="56" w:after="56" w:lineRule="auto" w:line="240"/>
              <w:ind w:right="56" w:left="56" w:firstLine="0"/>
              <w:jc w:val="center"/>
            </w:pPr>
            <w:r>
              <w:rPr/>
            </w:r>
            <w:r>
              <w:rPr>
                <w:u w:val="none"/>
                <w:sz w:val="20"/>
                <w:rFonts w:ascii="Times New Roman" w:hAnsi="Times New Roman" w:cs="Times New Roman" w:eastAsia="Times New Roman"/>
                <w:b w:val="on"/>
                <w:i w:val="off"/>
                <w:strike w:val="off"/>
              </w:rPr>
              <w:t/>
            </w:r>
            <w:r>
              <w:rPr/>
            </w:r>
            <w:r>
              <w:rPr>
                <w:u w:val="none"/>
                <w:sz w:val="20"/>
                <w:rFonts w:ascii="Times New Roman" w:hAnsi="Times New Roman" w:cs="Times New Roman" w:eastAsia="Times New Roman"/>
                <w:b w:val="on"/>
                <w:i w:val="off"/>
                <w:strike w:val="off"/>
              </w:rPr>
            </w:r>
            <w:r>
              <w:rPr>
                <w:sz w:val="20"/>
                <w:rFonts w:ascii="Times New Roman" w:hAnsi="Times New Roman" w:cs="Times New Roman" w:eastAsia="Times New Roman"/>
                <w:b w:val="on"/>
                <w:u w:val="none"/>
                <w:i w:val="off"/>
                <w:strike w:val="off"/>
              </w:rPr>
            </w:r>
            <w:r>
              <w:rPr>
                <w:sz w:val="20"/>
                <w:rFonts w:ascii="Times New Roman" w:hAnsi="Times New Roman" w:cs="Times New Roman" w:eastAsia="Times New Roman"/>
                <w:b w:val="on"/>
                <w:u w:val="none"/>
              </w:rPr>
              <w:t>ДОКУМЕНТ ПОДПИСАН ЭЛЕКТРОННОЙ ПОДПИСЬЮ</w:t>
            </w:r>
          </w:p>
        </w:tc>
        <w:tc>
          <w:tcPr>
            <w:tcW w:type="dxa" w:w="3641"/>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p>
        </w:tc>
      </w:tr>
      <w:tr>
        <w:tc>
          <w:tcPr>
            <w:tcW w:type="dxa" w:w="107"/>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p>
        </w:tc>
        <w:tc>
          <w:tcPr>
            <w:tcW w:type="dxa" w:w="6962"/>
            <w:tcBorders>
              <w:top w:color="000000" w:sz="0" w:val="none"/>
            </w:tcBorders>
          </w:tcPr>
          <w:p>
            <w:pPr>
              <w:spacing w:before="0" w:after="0" w:lineRule="auto" w:line="240"/>
              <w:ind w:right="0" w:left="0" w:firstLine="0"/>
              <w:jc w:val="left"/>
            </w:pPr>
            <w:r>
              <w:rPr/>
            </w:r>
            <w:r>
              <w:rPr>
                <w:u w:val="none"/>
                <w:sz w:val="28"/>
                <w:rFonts w:ascii="Times New Roman" w:hAnsi="Times New Roman" w:cs="Times New Roman" w:eastAsia="Times New Roman"/>
                <w:b w:val="off"/>
                <w:i w:val="off"/>
                <w:strike w:val="off"/>
              </w:rPr>
              <w:t/>
            </w:r>
            <w:r>
              <w:rPr/>
            </w:r>
            <w:r>
              <w:rPr>
                <w:u w:val="none"/>
                <w:sz w:val="28"/>
                <w:rFonts w:ascii="Times New Roman" w:hAnsi="Times New Roman" w:cs="Times New Roman" w:eastAsia="Times New Roman"/>
                <w:b w:val="off"/>
                <w:i w:val="off"/>
                <w:strike w:val="off"/>
              </w:rPr>
            </w:r>
            <w:r>
              <w:rPr>
                <w:sz w:val="20"/>
                <w:rFonts w:ascii="Times New Roman" w:hAnsi="Times New Roman" w:cs="Times New Roman" w:eastAsia="Times New Roman"/>
                <w:u w:val="none"/>
              </w:rPr>
            </w:r>
            <w:r>
              <w:rPr>
                <w:sz w:val="20"/>
                <w:rFonts w:ascii="Times New Roman" w:hAnsi="Times New Roman" w:cs="Times New Roman" w:eastAsia="Times New Roman"/>
                <w:u w:val="none"/>
              </w:rPr>
              <w:t/>
            </w:r>
            <w:r>
              <w:rPr>
                <w:sz w:val="20"/>
                <w:rFonts w:ascii="Times New Roman" w:hAnsi="Times New Roman" w:cs="Times New Roman" w:eastAsia="Times New Roman"/>
                <w:u w:val="none"/>
              </w:rPr>
              <w:t>Сертификат: 4EEBEF76187BAC5EE8BF74B60ED7B923</w:t>
            </w:r>
            <w:r>
              <w:rPr>
                <w:sz w:val="20"/>
                <w:rFonts w:ascii="Times New Roman" w:hAnsi="Times New Roman" w:cs="Times New Roman" w:eastAsia="Times New Roman"/>
                <w:u w:val="none"/>
              </w:rPr>
              <w:t/>
            </w:r>
          </w:p>
          <w:p>
            <w:pPr>
              <w:spacing w:before="0" w:after="0" w:lineRule="auto" w:line="240"/>
              <w:ind w:right="0" w:left="0" w:firstLine="0"/>
              <w:jc w:val="left"/>
            </w:pPr>
            <w:r>
              <w:rPr/>
            </w:r>
            <w:r>
              <w:rPr>
                <w:u w:val="none"/>
                <w:sz w:val="28"/>
                <w:rFonts w:ascii="Times New Roman" w:hAnsi="Times New Roman" w:cs="Times New Roman" w:eastAsia="Times New Roman"/>
                <w:b w:val="off"/>
                <w:i w:val="off"/>
                <w:strike w:val="off"/>
              </w:rPr>
            </w:r>
            <w:r>
              <w:rPr>
                <w:sz w:val="20"/>
                <w:rFonts w:ascii="Times New Roman" w:hAnsi="Times New Roman" w:cs="Times New Roman" w:eastAsia="Times New Roman"/>
                <w:u w:val="none"/>
              </w:rPr>
            </w:r>
            <w:r>
              <w:rPr>
                <w:sz w:val="20"/>
                <w:rFonts w:ascii="Times New Roman" w:hAnsi="Times New Roman" w:cs="Times New Roman" w:eastAsia="Times New Roman"/>
                <w:u w:val="none"/>
              </w:rPr>
              <w:t/>
            </w:r>
            <w:r>
              <w:rPr>
                <w:sz w:val="20"/>
                <w:rFonts w:ascii="Times New Roman" w:hAnsi="Times New Roman" w:cs="Times New Roman" w:eastAsia="Times New Roman"/>
                <w:u w:val="none"/>
              </w:rPr>
              <w:t>Владелец: Махаева Наталья Владимировна</w:t>
            </w:r>
            <w:r>
              <w:rPr>
                <w:sz w:val="20"/>
                <w:rFonts w:ascii="Times New Roman" w:hAnsi="Times New Roman" w:cs="Times New Roman" w:eastAsia="Times New Roman"/>
                <w:u w:val="none"/>
              </w:rPr>
              <w:t/>
            </w:r>
          </w:p>
          <w:p>
            <w:pPr>
              <w:spacing w:before="0" w:after="0" w:lineRule="auto" w:line="240"/>
              <w:ind w:right="0" w:left="0" w:firstLine="0"/>
              <w:jc w:val="left"/>
            </w:pPr>
            <w:r>
              <w:rPr/>
            </w:r>
            <w:r>
              <w:rPr>
                <w:u w:val="none"/>
                <w:sz w:val="28"/>
                <w:rFonts w:ascii="Times New Roman" w:hAnsi="Times New Roman" w:cs="Times New Roman" w:eastAsia="Times New Roman"/>
                <w:b w:val="off"/>
                <w:i w:val="off"/>
                <w:strike w:val="off"/>
              </w:rPr>
            </w:r>
            <w:r>
              <w:rPr>
                <w:sz w:val="20"/>
                <w:rFonts w:ascii="Times New Roman" w:hAnsi="Times New Roman" w:cs="Times New Roman" w:eastAsia="Times New Roman"/>
                <w:u w:val="none"/>
              </w:rPr>
            </w:r>
            <w:r>
              <w:rPr>
                <w:sz w:val="20"/>
                <w:rFonts w:ascii="Times New Roman" w:hAnsi="Times New Roman" w:cs="Times New Roman" w:eastAsia="Times New Roman"/>
                <w:u w:val="none"/>
              </w:rPr>
              <w:t/>
            </w:r>
            <w:r>
              <w:rPr>
                <w:sz w:val="20"/>
                <w:rFonts w:ascii="Times New Roman" w:hAnsi="Times New Roman" w:cs="Times New Roman" w:eastAsia="Times New Roman"/>
                <w:u w:val="none"/>
              </w:rPr>
              <w:t>Действителен с 05.06.2025 по 29.08.2026</w:t>
            </w:r>
          </w:p>
        </w:tc>
        <w:tc>
          <w:tcPr>
            <w:tcW w:type="dxa" w:w="3641"/>
            <w:vMerge/>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p>
        </w:tc>
      </w:tr>
      <w:tr>
        <w:tc>
          <w:tcPr>
            <w:tcW w:type="dxa" w:w="107"/>
            <w:vMerge/>
            <w:tcBorders>
              <w:right w:color="000000" w:sz="0" w:val="none"/>
            </w:tcBorders>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p>
        </w:tc>
        <w:tc>
          <w:tcPr>
            <w:tcW w:type="dxa" w:w="6962"/>
            <w:tcBorders>
              <w:left w:color="000000" w:sz="0" w:val="none"/>
              <w:right w:color="000000" w:sz="0" w:val="none"/>
            </w:tcBorders>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p>
        </w:tc>
        <w:tc>
          <w:tcPr>
            <w:tcW w:type="dxa" w:w="3641"/>
            <w:vMerge/>
            <w:tcBorders>
              <w:left w:color="000000" w:sz="0" w:val="none"/>
            </w:tcBorders>
          </w:tcPr>
          <w:p>
            <w:pPr>
              <w:spacing w:before="0" w:after="0" w:lineRule="auto" w:line="240"/>
              <w:ind w:right="0" w:left="0" w:firstLine="0"/>
              <w:jc w:val="both"/>
            </w:pPr>
            <w:r>
              <w:rPr/>
            </w:r>
            <w:r>
              <w:rPr>
                <w:u w:val="none"/>
                <w:sz w:val="28"/>
                <w:rFonts w:ascii="Times New Roman" w:hAnsi="Times New Roman" w:cs="Times New Roman" w:eastAsia="Times New Roman"/>
                <w:b w:val="off"/>
                <w:i w:val="off"/>
                <w:strike w:val="off"/>
              </w:rPr>
              <w:t/>
            </w:r>
          </w:p>
        </w:tc>
      </w:tr>
    </w:tbl>
    <w:p>
      <w:pPr>
        <w:spacing w:before="0" w:after="0" w:lineRule="atLeast" w:line="20"/>
        <w:ind w:right="56" w:left="56" w:firstLine="0"/>
        <w:jc w:val="left"/>
      </w:pPr>
      <w:r>
        <w:rPr/>
      </w:r>
      <w:r>
        <w:rPr>
          <w:u w:val="none"/>
          <w:sz w:val="28"/>
          <w:rFonts w:ascii="Times New Roman" w:hAnsi="Times New Roman" w:cs="Times New Roman" w:eastAsia="Times New Roman"/>
          <w:b w:val="off"/>
          <w:i w:val="off"/>
          <w:strike w:val="off"/>
        </w:rPr>
      </w:r>
      <w:r>
        <w:rPr>
          <w:sz w:val="28"/>
          <w:rFonts w:ascii="Times New Roman" w:hAnsi="Times New Roman" w:cs="Times New Roman" w:eastAsia="Times New Roman"/>
          <w:u w:val="none"/>
        </w:rPr>
        <w:t>13 марта 2026 г.</w:t>
      </w:r>
    </w:p>
    <w:sectPr>
      <w:pgSz w:orient="portrait" w:w="11900" w:h="16840"/>
      <w:pgMar w:left="623" w:right="566" w:top="1133" w:bottom="1133"/>
    </w:sectPr>
  </w:body>
</w:document>
</file>

<file path=word/settings.xml><?xml version="1.0" encoding="utf-8"?>
<w:settings xmlns:w="http://schemas.openxmlformats.org/wordprocessingml/2006/main"/>
</file>

<file path=word/styles.xml><?xml version="1.0" encoding="utf-8"?>
<w:styles xmlns:w="http://schemas.openxmlformats.org/wordprocessingml/2006/main">
  <w:style w:styleId="Metadata">
    <w:name w:val="Версия сервера генератора печатных документов: 14.71 Версия клиента генератора печатных документов: 14.0.34 Текущий пользователь: mahaevanavl@admin.orenburg.ru Данные о генерации: DataSourceProvider: ru.krista.consolidation.printdoceditor.service.PrintDocEditorDataSourceProvider TemplateStorage: ru.krista.consolidation.printdoceditor.service.PrintDocEditorTemplateStorage GenerationCache: ru.krista.print.doc.editor.generation.InMemoryGenerationCache FunctionProviders:  * ru.krista.print.doc.editor.evaluator.InMemoryFunctionProvider * ru.krista.consolidation.printdoceditor.service.PrintDocEditorFunctionProvider "/>
  </w:style>
</w:styles>
</file>

<file path=word/_rels/document.xml.rels><?xml version="1.0" encoding="UTF-8" standalone="yes"?><Relationships xmlns="http://schemas.openxmlformats.org/package/2006/relationships"><Relationship Id="rId1" Target="settings.xml" Type="http://schemas.openxmlformats.org/officeDocument/2006/relationships/settings"/><Relationship Id="rId2" Target="styles.xml" Type="http://schemas.openxmlformats.org/officeDocument/2006/relationships/styles"/></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2026-03-23T07:01:09Z</dcterms:created>
  <dc:creator>Apache POI</dc:creator>
</cp:coreProperties>
</file>